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001-40368</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#266A South Bridge Road, #02-01 Singapore (058815)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6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w:t>
      </w:r>
      <w:r>
        <w:rPr>
          <w:rFonts w:ascii="MS PGothic" w:cs="MS PGothic" w:eastAsia="MS PGothic" w:hAnsi="MS PGothic"/>
          <w:sz w:val="17"/>
          <w:szCs w:val="17"/>
          <w:color w:val="auto"/>
        </w:rPr>
        <w:t>☐</w:t>
      </w:r>
    </w:p>
    <w:p>
      <w:pPr>
        <w:spacing w:after="0" w:line="237"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SAIHEAT Limited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announced that all the shareholder proposals submitted for shareholders’ approval have been duly adopted at its extraordinary general meeting of shareholders held virtually at http://www.virtualshareholdermeeting.com/SAIH2026SM on April 24, 2026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hereby submits this report on Form 6-K to furnish, among others, (i) the Fourth Amended and Restated Memorandum and Articles of Association of the Company (As Corrected) as set forth in Exhibit 3.1 hereto, (ii) the Fifth Amended and Restated Memorandum and Articles of Association of the Company as set forth in Exhibit 3.2 hereto; and (iii)the voting results of the EGM as set forth in Exhibit 99.1 hereto. For more details, please refer to exhibits to this report on Form 6-K.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5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Fourth Amended and Restated Memorandum and Articles of Association (As Corrected)</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tcPr>
          <w:p>
            <w:pPr>
              <w:spacing w:after="0"/>
              <w:rPr>
                <w:sz w:val="15"/>
                <w:szCs w:val="15"/>
                <w:color w:val="auto"/>
              </w:rPr>
            </w:pPr>
          </w:p>
        </w:tc>
        <w:tc>
          <w:tcPr>
            <w:tcW w:w="63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Fifth Amended and Restated Memorandum and Articles of Association</w:t>
            </w:r>
          </w:p>
        </w:tc>
        <w:tc>
          <w:tcPr>
            <w:tcW w:w="372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Voting Results of Extraordinary General Meeting</w:t>
            </w:r>
          </w:p>
        </w:tc>
        <w:tc>
          <w:tcPr>
            <w:tcW w:w="6540" w:type="dxa"/>
            <w:vAlign w:val="bottom"/>
            <w:tcBorders>
              <w:bottom w:val="single" w:sz="8" w:color="CCEEFF"/>
            </w:tcBorders>
            <w:gridSpan w:val="3"/>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6-K and that it has duly caused and authorized the undersigned to sign this report on its behalf.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SAIHEAT Limited</w:t>
            </w:r>
          </w:p>
        </w:tc>
      </w:tr>
      <w:tr>
        <w:trPr>
          <w:trHeight w:val="439"/>
        </w:trPr>
        <w:tc>
          <w:tcPr>
            <w:tcW w:w="3540" w:type="dxa"/>
            <w:vAlign w:val="bottom"/>
          </w:tcPr>
          <w:p>
            <w:pPr>
              <w:spacing w:after="0"/>
              <w:rPr>
                <w:sz w:val="24"/>
                <w:szCs w:val="24"/>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Jianwei Li</w:t>
            </w: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April 27, 2026</w:t>
            </w: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Jianwei Li</w:t>
            </w:r>
          </w:p>
        </w:tc>
      </w:tr>
      <w:tr>
        <w:trPr>
          <w:trHeight w:val="234"/>
        </w:trPr>
        <w:tc>
          <w:tcPr>
            <w:tcW w:w="3540" w:type="dxa"/>
            <w:vAlign w:val="bottom"/>
          </w:tcPr>
          <w:p>
            <w:pPr>
              <w:spacing w:after="0"/>
              <w:rPr>
                <w:sz w:val="20"/>
                <w:szCs w:val="20"/>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(ADOPTED BY SPECIAL RESOLUTION DATED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FEBRUARY 26, 2025)</w:t>
      </w:r>
    </w:p>
    <w:p>
      <w:pPr>
        <w:spacing w:after="0" w:line="203" w:lineRule="exact"/>
        <w:rPr>
          <w:sz w:val="20"/>
          <w:szCs w:val="20"/>
          <w:color w:val="auto"/>
        </w:rPr>
      </w:pPr>
    </w:p>
    <w:p>
      <w:pPr>
        <w:ind w:left="740" w:hanging="64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SAIHEAT Limited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5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BOLDER CORPORATE SERVICES (CAYMAN) LIMITED, 3-212 Governors Square, 23 Lime Tree Bay Avenue, P.O. Box 30746, Seven Mile Beach, Grand Cayman KY1-1203, Cayman Islands, or at such other place within the Cayman Islands as the Directors may decide.</w:t>
      </w:r>
    </w:p>
    <w:p>
      <w:pPr>
        <w:spacing w:after="0" w:line="176" w:lineRule="exact"/>
        <w:rPr>
          <w:sz w:val="20"/>
          <w:szCs w:val="20"/>
          <w:color w:val="auto"/>
        </w:rPr>
      </w:pPr>
    </w:p>
    <w:p>
      <w:pPr>
        <w:jc w:val="both"/>
        <w:ind w:left="660" w:hanging="65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80" w:lineRule="exact"/>
        <w:rPr>
          <w:sz w:val="20"/>
          <w:szCs w:val="20"/>
          <w:color w:val="auto"/>
        </w:rPr>
      </w:pPr>
    </w:p>
    <w:p>
      <w:pPr>
        <w:jc w:val="both"/>
        <w:ind w:left="660" w:hanging="65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80" w:lineRule="exact"/>
        <w:rPr>
          <w:sz w:val="20"/>
          <w:szCs w:val="20"/>
          <w:color w:val="auto"/>
        </w:rPr>
      </w:pPr>
    </w:p>
    <w:p>
      <w:pPr>
        <w:ind w:left="680" w:hanging="65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225" w:lineRule="exact"/>
        <w:rPr>
          <w:sz w:val="20"/>
          <w:szCs w:val="20"/>
          <w:color w:val="auto"/>
        </w:rPr>
      </w:pPr>
    </w:p>
    <w:p>
      <w:pPr>
        <w:jc w:val="both"/>
        <w:ind w:left="660" w:hanging="65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US$35,000 divided into 22,024,624 Class A ordinary shares of a par value of US$0.0015 each, 642,043 convertible Class B ordinary shares of a par value of US$0.0015 each, and 666,666 preference shares of a par value of US$0.0015 each. Subject to the provisions of the Statue and the Articles, the Company has the power to redeem or purchase any of its shares and to increase or reduce the share capital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89" w:lineRule="exact"/>
        <w:rPr>
          <w:sz w:val="20"/>
          <w:szCs w:val="20"/>
          <w:color w:val="auto"/>
        </w:rPr>
      </w:pPr>
    </w:p>
    <w:p>
      <w:pPr>
        <w:ind w:left="660" w:hanging="65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62" w:lineRule="exact"/>
        <w:rPr>
          <w:sz w:val="20"/>
          <w:szCs w:val="20"/>
          <w:color w:val="auto"/>
        </w:rPr>
      </w:pPr>
    </w:p>
    <w:p>
      <w:pPr>
        <w:ind w:left="5520" w:right="2020" w:hanging="5518"/>
        <w:spacing w:after="0" w:line="783" w:lineRule="auto"/>
        <w:tabs>
          <w:tab w:leader="none" w:pos="6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bear the respective meanings given to them in the Articles.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FEBRUARY 26, 2025)</w:t>
      </w:r>
    </w:p>
    <w:p>
      <w:pPr>
        <w:spacing w:after="0" w:line="203" w:lineRule="exact"/>
        <w:rPr>
          <w:sz w:val="20"/>
          <w:szCs w:val="20"/>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720" w:hanging="647"/>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 the following words shall have the following meaning: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 (a) in the case</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a natural Person, shall include, without limitation, such Person’s spouse, parents, children, siblings,</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mother-in-law and father-in-law and brothers and sisters-in-law, whether by blood, marriage or adoption or</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anyone residing in such Person’s home, a trust for the benefit of any of the foregoing, a company,</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partnership or any natural Person or entity wholly or jointly owned by any of the foregoing and (b) in the</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case of an entity, shall include a partnership, a corporation or any natural Person or entity which directly, or</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indirectly through one or more intermediaries, controls, is controlled by, or is under common control with,</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such entity.</w:t>
            </w:r>
          </w:p>
        </w:tc>
      </w:tr>
      <w:tr>
        <w:trPr>
          <w:trHeight w:val="414"/>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certificates, judgments, decisions, decrees or orders of any governmental authority applicable to such</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Person.</w:t>
            </w:r>
          </w:p>
        </w:tc>
      </w:tr>
      <w:tr>
        <w:trPr>
          <w:trHeight w:val="432"/>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these amended and restated articles of association of the Company.</w:t>
            </w:r>
          </w:p>
        </w:tc>
      </w:tr>
      <w:tr>
        <w:trPr>
          <w:trHeight w:val="414"/>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audit committee of the board of directors of the Company established pursuant to the Articles, or</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any successor committee.</w:t>
            </w:r>
          </w:p>
        </w:tc>
      </w:tr>
      <w:tr>
        <w:trPr>
          <w:trHeight w:val="432"/>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tc>
      </w:tr>
      <w:tr>
        <w:trPr>
          <w:trHeight w:val="655"/>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3"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that  certain  Business  Combination  Agreement  among  the  Company  (f/k/a  TradeUp  Global</w:t>
            </w:r>
          </w:p>
        </w:tc>
      </w:tr>
      <w:tr>
        <w:trPr>
          <w:trHeight w:val="220"/>
        </w:trPr>
        <w:tc>
          <w:tcPr>
            <w:tcW w:w="33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Corporation), TGC Merger Sub, a Cayman Islands exempted company incorporated with limited liability,</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and SAITECH Limited, a Cayman Islands exempted company incorporated with limited liability, dated as of</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27, 2021.</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has the meaning ascribed to such term in Founder’s employment agreement with the Company as in effect</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chairman of the board of Directors, if any, appointed by the Directors pursuant to Article 31.7.</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 receipts</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therefor) are listed or quoted on a stock exchange or interdealer quotation system in such jurisdiction.</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class A ordinary share of a par value of US$0.0015 in the share capital of the Company.</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Share”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convertible class B ordinary share of a par value of US$0.0015 in the share capital of the Company.</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Ordinary Shareholder”</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holder of Class B Shares and any Permitted Transferee of such holder so long as such Permitted</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Transferee is a holder of any Class B Shares.</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Articles, or any successor committee.</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trading, including the Nasdaq Capital Market.</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transmission to any number, address or internet website (including the website of the Securities and</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Exchange Commission) or other electronic delivery methods as otherwise decided and approved by the</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655"/>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333"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w:t>
            </w:r>
          </w:p>
        </w:tc>
      </w:tr>
      <w:tr>
        <w:trPr>
          <w:trHeight w:val="414"/>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 statute</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and the rules and regulations of the Securities and Exchange Commission thereunder, all as the same shall be</w:t>
            </w:r>
          </w:p>
        </w:tc>
      </w:tr>
      <w:tr>
        <w:trPr>
          <w:trHeight w:val="234"/>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effect at the time.</w:t>
            </w:r>
          </w:p>
        </w:tc>
      </w:tr>
      <w:tr>
        <w:trPr>
          <w:trHeight w:val="432"/>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“Family Members”</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and includes only the following individuals:</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the applicable individual;</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  the spouse of the applicable individual (including former spouses);</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  the parents of the applicable individual;</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  the lineal descendants of the applicable individual, the siblings of the applicable individual; and</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  the lineal descendants of a sibling of the applicable individual.</w:t>
            </w:r>
          </w:p>
        </w:tc>
      </w:tr>
      <w:tr>
        <w:trPr>
          <w:trHeight w:val="414"/>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purposes of the (a) to (e), the descendants of any individual shall include adopted individuals and their</w:t>
            </w:r>
          </w:p>
        </w:tc>
      </w:tr>
      <w:tr>
        <w:trPr>
          <w:trHeight w:val="234"/>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 but only if the adopted individual was adopted prior to attaining age eighteen.</w:t>
            </w:r>
          </w:p>
        </w:tc>
      </w:tr>
      <w:tr>
        <w:trPr>
          <w:trHeight w:val="432"/>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“Founder”</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Li Risheng.</w:t>
            </w:r>
          </w:p>
        </w:tc>
      </w:tr>
      <w:tr>
        <w:trPr>
          <w:trHeight w:val="414"/>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“Incapacity”</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with respect to an individual, the permanent and total disability of such individual so that such</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individual is unable to engage in any substantial gainful activity by reason of any medically determinable</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mental impairment which can be expected to result in death or which has lasted or can be expected to last for</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continuous period of not less than twelve (12) months as determined by a licensed medical practitioner. In</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event of a dispute regarding whether an individual has suffered an Incapacity, no Incapacity of such</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individual will be deemed to have occurred unless and until an affirmative ruling regarding such Incapacity</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been made by a court or arbitral panel of competent jurisdiction, and such ruling has become final and</w:t>
            </w:r>
          </w:p>
        </w:tc>
      </w:tr>
      <w:tr>
        <w:trPr>
          <w:trHeight w:val="234"/>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non-appealable.</w:t>
            </w:r>
          </w:p>
        </w:tc>
      </w:tr>
      <w:tr>
        <w:trPr>
          <w:trHeight w:val="414"/>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w:t>
            </w:r>
          </w:p>
        </w:tc>
      </w:tr>
      <w:tr>
        <w:trPr>
          <w:trHeight w:val="234"/>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 the Exchange Act, as the case may be.</w:t>
            </w:r>
          </w:p>
        </w:tc>
      </w:tr>
      <w:tr>
        <w:trPr>
          <w:trHeight w:val="432"/>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432"/>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amended and restated memorandum of association of the Company.</w:t>
            </w:r>
          </w:p>
        </w:tc>
      </w:tr>
      <w:tr>
        <w:trPr>
          <w:trHeight w:val="432"/>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“Merger”</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655"/>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333"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“Merger Effective Date”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410"/>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w:t>
            </w:r>
          </w:p>
        </w:tc>
      </w:tr>
      <w:tr>
        <w:trPr>
          <w:trHeight w:val="238"/>
        </w:trPr>
        <w:tc>
          <w:tcPr>
            <w:tcW w:w="30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established pursuant to the Articles, or any successor committee.</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w:t>
            </w:r>
          </w:p>
        </w:tc>
      </w:tr>
      <w:tr>
        <w:trPr>
          <w:trHeight w:val="414"/>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 or,</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where proxies are allowed, by proxy at a general meeting, and includes a unanimous written resolution. In</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computing the majority when a poll is demanded regard shall be had to the number of votes to which each</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Member is entitled by the Articles.</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collectively, the Class A Shares and the Class B Shares.</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“Permitted Entity”</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with respect to Founder:</w:t>
            </w:r>
          </w:p>
        </w:tc>
      </w:tr>
      <w:tr>
        <w:trPr>
          <w:trHeight w:val="432"/>
        </w:trPr>
        <w:tc>
          <w:tcPr>
            <w:tcW w:w="306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any Person in respect of which Founder has, directly or indirectly:</w:t>
            </w:r>
          </w:p>
        </w:tc>
      </w:tr>
      <w:tr>
        <w:trPr>
          <w:trHeight w:val="414"/>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with respect to the voting of all the Class B Shares held or to be transferred to such</w:t>
            </w:r>
          </w:p>
        </w:tc>
      </w:t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w:t>
            </w:r>
          </w:p>
        </w:tc>
      </w:tr>
      <w:tr>
        <w:trPr>
          <w:trHeight w:val="414"/>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   the ability to direct or cause the direction of management and policies of such Person or any other</w:t>
            </w: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 having the authority referred to in the proceeding clause (a)(i) (whether by contract, as</w:t>
            </w:r>
          </w:p>
        </w:tc>
      </w:t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executor, trustee, trust protector or otherwise); or</w:t>
            </w:r>
          </w:p>
        </w:tc>
      </w:tr>
      <w:tr>
        <w:trPr>
          <w:trHeight w:val="414"/>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(iii)  the operational or practical control of such Person, including the right to appoint, designate,</w:t>
            </w: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remove or replace the Person having the authority referred to in the preceding clauses (a)(i) or (ii)</w:t>
            </w:r>
          </w:p>
        </w:tc>
      </w:t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above;</w:t>
            </w:r>
          </w:p>
        </w:tc>
      </w:tr>
      <w:tr>
        <w:trPr>
          <w:trHeight w:val="414"/>
        </w:trPr>
        <w:tc>
          <w:tcPr>
            <w:tcW w:w="306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any trust the beneficiaries of which consist primarily of Founder, his Family Members, and/or any</w:t>
            </w:r>
          </w:p>
        </w:tc>
      </w:t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Persons controlled directly or indirectly by such a trust;</w:t>
            </w:r>
          </w:p>
        </w:tc>
      </w:tr>
      <w:tr>
        <w:trPr>
          <w:trHeight w:val="432"/>
        </w:trPr>
        <w:tc>
          <w:tcPr>
            <w:tcW w:w="306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any Person Controlled by a trust described in the immediately preceding clause (b) above; and</w:t>
            </w:r>
          </w:p>
        </w:tc>
      </w:tr>
      <w:tr>
        <w:trPr>
          <w:trHeight w:val="432"/>
        </w:trPr>
        <w:tc>
          <w:tcPr>
            <w:tcW w:w="306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 the avoidance of doubt, Energy Science Artist Holding Limited.</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“Permitted Transferee”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with respect to the Class B Ordinary Shareholders, any or all of the following:</w:t>
            </w:r>
          </w:p>
        </w:tc>
      </w:tr>
      <w:tr>
        <w:trPr>
          <w:trHeight w:val="432"/>
        </w:trPr>
        <w:tc>
          <w:tcPr>
            <w:tcW w:w="306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Founder;</w:t>
            </w:r>
          </w:p>
        </w:tc>
      </w:tr>
      <w:tr>
        <w:trPr>
          <w:trHeight w:val="432"/>
        </w:trPr>
        <w:tc>
          <w:tcPr>
            <w:tcW w:w="306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any Founder Permitted Entities;</w:t>
            </w:r>
          </w:p>
        </w:tc>
      </w:tr>
      <w:tr>
        <w:trPr>
          <w:trHeight w:val="655"/>
        </w:trPr>
        <w:tc>
          <w:tcPr>
            <w:tcW w:w="3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333"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  any Family Members of Founder;</w:t>
            </w:r>
          </w:p>
        </w:tc>
      </w:tr>
      <w:tr>
        <w:trPr>
          <w:trHeight w:val="432"/>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  any other relative of Founder approved by the Board;</w:t>
            </w:r>
          </w:p>
        </w:tc>
      </w:tr>
      <w:tr>
        <w:trPr>
          <w:trHeight w:val="432"/>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  any transferee by operation of law, including in connection with divorce proceedings;</w:t>
            </w:r>
          </w:p>
        </w:tc>
      </w:tr>
      <w:tr>
        <w:trPr>
          <w:trHeight w:val="432"/>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  any charitable organization, foundation or similar entity;</w:t>
            </w:r>
          </w:p>
        </w:tc>
      </w:tr>
      <w:tr>
        <w:trPr>
          <w:trHeight w:val="414"/>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  in connection with a transfer as a result of, or in connection with the death or Incapacity of Founder, any</w:t>
            </w:r>
          </w:p>
        </w:tc>
      </w:tr>
      <w:tr>
        <w:trPr>
          <w:trHeight w:val="234"/>
        </w:trPr>
        <w:tc>
          <w:tcPr>
            <w:tcW w:w="2960" w:type="dxa"/>
            <w:vAlign w:val="bottom"/>
          </w:tcPr>
          <w:p>
            <w:pPr>
              <w:spacing w:after="0"/>
              <w:rPr>
                <w:sz w:val="20"/>
                <w:szCs w:val="20"/>
                <w:color w:val="auto"/>
              </w:rPr>
            </w:pPr>
          </w:p>
        </w:tc>
        <w:tc>
          <w:tcPr>
            <w:tcW w:w="82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Family Member of Founder or other designee, in each case, approved by the Directors; and</w:t>
            </w:r>
          </w:p>
        </w:tc>
      </w:tr>
      <w:tr>
        <w:trPr>
          <w:trHeight w:val="432"/>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  the Company;</w:t>
            </w:r>
          </w:p>
        </w:tc>
      </w:tr>
      <w:tr>
        <w:trPr>
          <w:trHeight w:val="414"/>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provided that, (1) as a condition of any transfer to a Permitted Transferee under clauses (c) through (f)</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above, such Permitted Transferee shall have executed an original, a counterpart of, or a deed of adherence</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 respect to, a Proxy and Voting Deed; and (ii) in the case of any transfer of Class B Shares pursuant to</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clauses (b) through (f) above to a Person who at a later time ceases to qualify as a Permitted Transferee</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under the relevant clause, the Company shall be able to refuse registration of any subsequent transfer of such</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B Shares except back to the Founder or his Permitted Entities, and in the absence of such transfer back</w:t>
            </w:r>
          </w:p>
        </w:tc>
      </w:tr>
      <w:tr>
        <w:trPr>
          <w:trHeight w:val="214"/>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the Founder or his Permitted Entities, the applicable Class B Shares shall automatically convert in</w:t>
            </w:r>
          </w:p>
        </w:tc>
      </w:tr>
      <w:tr>
        <w:trPr>
          <w:trHeight w:val="236"/>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accordance with Article 17.4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tc>
      </w:tr>
      <w:tr>
        <w:trPr>
          <w:trHeight w:val="414"/>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any individual, corporation, partnership, joint venture, trust, unincorporated organization, limited</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liability company, estate, association, joint stock company, unincorporated organization, company or other</w:t>
            </w:r>
          </w:p>
        </w:tc>
      </w:t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business or legal entity or government authority.</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“Preference Share”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preference share of a par value of US$0.0015 in the share capital of the Company.</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“Proxy and Voting Deed”</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deed or agreement conveying to Founder voting rights of outstanding Class B Shares.</w:t>
            </w:r>
          </w:p>
        </w:tc>
      </w:tr>
      <w:tr>
        <w:trPr>
          <w:trHeight w:val="414"/>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w:t>
            </w:r>
          </w:p>
        </w:tc>
      </w:t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otherwise stated) any branch or duplicate register of Members.</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U.S. Securities Act of 1933.</w:t>
            </w:r>
          </w:p>
        </w:tc>
      </w:tr>
      <w:tr>
        <w:trPr>
          <w:trHeight w:val="410"/>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238"/>
        </w:trPr>
        <w:tc>
          <w:tcPr>
            <w:tcW w:w="29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280" w:type="dxa"/>
            <w:vAlign w:val="bottom"/>
          </w:tcPr>
          <w:p>
            <w:pPr>
              <w:spacing w:after="0"/>
              <w:rPr>
                <w:sz w:val="20"/>
                <w:szCs w:val="20"/>
                <w:color w:val="auto"/>
              </w:rPr>
            </w:pPr>
          </w:p>
        </w:tc>
      </w:tr>
      <w:tr>
        <w:trPr>
          <w:trHeight w:val="414"/>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Class A Share, a Class B Share, or a Preference Share and includes a fraction of a share in the</w:t>
            </w:r>
          </w:p>
        </w:tc>
      </w:t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655"/>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337" w:right="339" w:bottom="1440" w:gutter="0" w:footer="0" w:header="0"/>
        </w:sectPr>
      </w:pPr>
    </w:p>
    <w:bookmarkStart w:id="11" w:name="page12"/>
    <w:bookmarkEnd w:id="1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225" w:lineRule="exact"/>
        <w:rPr>
          <w:sz w:val="20"/>
          <w:szCs w:val="20"/>
          <w:color w:val="auto"/>
        </w:rPr>
      </w:pPr>
    </w:p>
    <w:p>
      <w:pPr>
        <w:ind w:left="480" w:hanging="324"/>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225" w:lineRule="exact"/>
        <w:rPr>
          <w:rFonts w:ascii="Times New Roman" w:cs="Times New Roman" w:eastAsia="Times New Roman" w:hAnsi="Times New Roman"/>
          <w:sz w:val="18"/>
          <w:szCs w:val="18"/>
          <w:color w:val="auto"/>
        </w:rPr>
      </w:pPr>
    </w:p>
    <w:p>
      <w:pPr>
        <w:ind w:left="480" w:hanging="324"/>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deed or other instrument (including to these Articles and the Memorandum) is a reference to that agreement or instrument as amended, restated, or novated from time to time;</w:t>
      </w:r>
    </w:p>
    <w:p>
      <w:pPr>
        <w:spacing w:after="0" w:line="161" w:lineRule="exact"/>
        <w:rPr>
          <w:rFonts w:ascii="Times New Roman" w:cs="Times New Roman" w:eastAsia="Times New Roman" w:hAnsi="Times New Roman"/>
          <w:sz w:val="18"/>
          <w:szCs w:val="18"/>
          <w:color w:val="auto"/>
        </w:rPr>
      </w:pPr>
    </w:p>
    <w:p>
      <w:pPr>
        <w:ind w:left="480" w:hanging="324"/>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161"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225" w:lineRule="exact"/>
        <w:rPr>
          <w:rFonts w:ascii="Times New Roman" w:cs="Times New Roman" w:eastAsia="Times New Roman" w:hAnsi="Times New Roman"/>
          <w:sz w:val="18"/>
          <w:szCs w:val="18"/>
          <w:color w:val="auto"/>
        </w:rPr>
      </w:pPr>
    </w:p>
    <w:p>
      <w:pPr>
        <w:ind w:left="480" w:right="20" w:hanging="324"/>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161" w:lineRule="exact"/>
        <w:rPr>
          <w:rFonts w:ascii="Times New Roman" w:cs="Times New Roman" w:eastAsia="Times New Roman" w:hAnsi="Times New Roman"/>
          <w:sz w:val="18"/>
          <w:szCs w:val="18"/>
          <w:color w:val="auto"/>
        </w:rPr>
      </w:pPr>
    </w:p>
    <w:p>
      <w:pPr>
        <w:ind w:left="480" w:hanging="324"/>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jc w:val="both"/>
        <w:ind w:left="480" w:hanging="324"/>
        <w:spacing w:after="0" w:line="266"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7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225" w:lineRule="exact"/>
        <w:rPr>
          <w:rFonts w:ascii="Times New Roman" w:cs="Times New Roman" w:eastAsia="Times New Roman" w:hAnsi="Times New Roman"/>
          <w:sz w:val="18"/>
          <w:szCs w:val="18"/>
          <w:color w:val="auto"/>
        </w:rPr>
      </w:pPr>
    </w:p>
    <w:p>
      <w:pPr>
        <w:ind w:left="480" w:hanging="324"/>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37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2" w:name="page13"/>
    <w:bookmarkEnd w:id="12"/>
    <w:p>
      <w:pPr>
        <w:ind w:left="920" w:hanging="32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 “US$”, “USD”, or dollar(s) is a reference to the lawful currency of the United States of America;</w:t>
      </w:r>
    </w:p>
    <w:p>
      <w:pPr>
        <w:spacing w:after="0" w:line="225"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means, except where the context requires otherwise, directly or indirectly through one or more intermediate Persons or through contractual or other arrangements, and “direct or indirect” has the correlative meaning; and</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221" w:lineRule="exact"/>
        <w:rPr>
          <w:sz w:val="20"/>
          <w:szCs w:val="20"/>
          <w:color w:val="auto"/>
        </w:rPr>
      </w:pPr>
    </w:p>
    <w:p>
      <w:pPr>
        <w:ind w:left="860" w:hanging="656"/>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8" w:lineRule="exact"/>
        <w:rPr>
          <w:sz w:val="20"/>
          <w:szCs w:val="20"/>
          <w:color w:val="auto"/>
        </w:rPr>
      </w:pPr>
    </w:p>
    <w:p>
      <w:pPr>
        <w:ind w:left="800" w:hanging="650"/>
        <w:spacing w:after="0"/>
        <w:tabs>
          <w:tab w:leader="none" w:pos="8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conversion of the Class B Shares set out in the Articles. No holder of Ordinary Shares shall have pre-emptive rights.</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Except as set forth otherwise in Article 10(c)(iv), the Directors may provide, out of the unissued shares, for a series of Preference Shares. Before any Preference Shares of any such series are issued, the Directors shall fix, by resolution or resolutions, the following provisions of the Preference Shares thereof, if applicable:</w:t>
      </w:r>
    </w:p>
    <w:p>
      <w:pPr>
        <w:spacing w:after="0" w:line="176" w:lineRule="exact"/>
        <w:rPr>
          <w:sz w:val="20"/>
          <w:szCs w:val="20"/>
          <w:color w:val="auto"/>
        </w:rPr>
      </w:pPr>
    </w:p>
    <w:p>
      <w:pPr>
        <w:ind w:left="920" w:hanging="324"/>
        <w:spacing w:after="0" w:line="282"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Preference Shares to constitute such series and the subscription price thereof if different from the par value thereof;</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13" w:name="page14"/>
    <w:bookmarkEnd w:id="13"/>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Preference Shares;</w:t>
      </w:r>
    </w:p>
    <w:p>
      <w:pPr>
        <w:spacing w:after="0" w:line="17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Preference Shares of such series upon, and the rights of the holders of such series in, a voluntary or involuntary liquidation, dissolution or winding up, or upon any distribution of the assets, of the Company;</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of shares or any other series of Preference Shares;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Preference Shares; and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58"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Without limiting the foregoing and subject to </w:t>
      </w:r>
      <w:r>
        <w:rPr>
          <w:rFonts w:ascii="Times New Roman" w:cs="Times New Roman" w:eastAsia="Times New Roman" w:hAnsi="Times New Roman"/>
          <w:sz w:val="18"/>
          <w:szCs w:val="18"/>
          <w:b w:val="1"/>
          <w:bCs w:val="1"/>
          <w:i w:val="1"/>
          <w:iCs w:val="1"/>
          <w:u w:val="single" w:color="auto"/>
          <w:color w:val="auto"/>
        </w:rPr>
        <w:t>Articles 17.3 and 23.1</w:t>
      </w:r>
      <w:r>
        <w:rPr>
          <w:rFonts w:ascii="Times New Roman" w:cs="Times New Roman" w:eastAsia="Times New Roman" w:hAnsi="Times New Roman"/>
          <w:sz w:val="18"/>
          <w:szCs w:val="18"/>
          <w:b w:val="1"/>
          <w:bCs w:val="1"/>
          <w:color w:val="auto"/>
        </w:rPr>
        <w:t>, the voting powers of any series of Preference Shares may include the right, in the circumstances specified in the resolution or resolutions providing for the issuance of such Preference Shares, to elect one or more Directors who shall serve for such term and have such voting powers as shall be stated in the resolution or resolutions providing for the issuance of such Preference Shares. The term of office and voting powers of any Director elected in the manner provided in the immediately preceding sentence of this Article 3.3 may be greater than or less than those of any other Director or class of Directors.</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4" w:name="page15"/>
    <w:bookmarkEnd w:id="14"/>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p>
      <w:pPr>
        <w:spacing w:after="0" w:line="180"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221" w:lineRule="exact"/>
        <w:rPr>
          <w:sz w:val="20"/>
          <w:szCs w:val="20"/>
          <w:color w:val="auto"/>
        </w:rPr>
      </w:pPr>
    </w:p>
    <w:p>
      <w:pPr>
        <w:ind w:left="940" w:hanging="655"/>
        <w:spacing w:after="0"/>
        <w:tabs>
          <w:tab w:leader="none" w:pos="9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72" w:lineRule="exact"/>
        <w:rPr>
          <w:sz w:val="20"/>
          <w:szCs w:val="20"/>
          <w:color w:val="auto"/>
        </w:rPr>
      </w:pPr>
    </w:p>
    <w:p>
      <w:pPr>
        <w:ind w:left="740" w:hanging="657"/>
        <w:spacing w:after="0"/>
        <w:tabs>
          <w:tab w:leader="none" w:pos="7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79" w:lineRule="exact"/>
        <w:rPr>
          <w:sz w:val="20"/>
          <w:szCs w:val="20"/>
          <w:color w:val="auto"/>
        </w:rPr>
      </w:pPr>
    </w:p>
    <w:p>
      <w:pPr>
        <w:ind w:left="900" w:hanging="642"/>
        <w:spacing w:after="0"/>
        <w:tabs>
          <w:tab w:leader="none" w:pos="9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share certificates shall bear legends required under the Applicable Laws, including the Securities Act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15" w:name="page16"/>
    <w:bookmarkEnd w:id="15"/>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176" w:lineRule="exact"/>
        <w:rPr>
          <w:sz w:val="20"/>
          <w:szCs w:val="20"/>
          <w:color w:val="auto"/>
        </w:rPr>
      </w:pPr>
    </w:p>
    <w:p>
      <w:pPr>
        <w:ind w:left="980" w:hanging="654"/>
        <w:spacing w:after="0"/>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his Class A Shares by an instrument of transfer provided that such transfer complies with the rules and regulations of the Designated Stock Exchange, the Securities and Exchange Commission and/or any other competent regulatory authority or otherwise under Applicable Law. If the Class A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Class A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16" w:name="page17"/>
    <w:bookmarkEnd w:id="16"/>
    <w:p>
      <w:pPr>
        <w:ind w:left="740" w:hanging="657"/>
        <w:spacing w:after="0"/>
        <w:tabs>
          <w:tab w:leader="none" w:pos="7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16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ind w:left="1020" w:hanging="640"/>
        <w:spacing w:after="0"/>
        <w:tabs>
          <w:tab w:leader="none" w:pos="10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Subject to Articles 3.1 and 17.3,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17" w:name="page18"/>
    <w:bookmarkEnd w:id="17"/>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provisions of these Articles relating to general meetings shall apply to every such general meeting of the holders of one class or series of shares, except the following:</w:t>
      </w:r>
    </w:p>
    <w:p>
      <w:pPr>
        <w:spacing w:after="0" w:line="162" w:lineRule="exact"/>
        <w:rPr>
          <w:sz w:val="20"/>
          <w:szCs w:val="20"/>
          <w:color w:val="auto"/>
        </w:rPr>
      </w:pPr>
    </w:p>
    <w:p>
      <w:pPr>
        <w:ind w:left="920" w:hanging="32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general meetings of the holders of a call or series of shares may be called only by:</w:t>
      </w:r>
    </w:p>
    <w:p>
      <w:pPr>
        <w:spacing w:after="0" w:line="225" w:lineRule="exact"/>
        <w:rPr>
          <w:rFonts w:ascii="Times New Roman" w:cs="Times New Roman" w:eastAsia="Times New Roman" w:hAnsi="Times New Roman"/>
          <w:sz w:val="18"/>
          <w:szCs w:val="18"/>
          <w:color w:val="auto"/>
        </w:rPr>
      </w:pPr>
    </w:p>
    <w:p>
      <w:pPr>
        <w:ind w:left="1900" w:hanging="656"/>
        <w:spacing w:after="0"/>
        <w:tabs>
          <w:tab w:leader="none" w:pos="1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w:t>
      </w:r>
    </w:p>
    <w:p>
      <w:pPr>
        <w:spacing w:after="0" w:line="225" w:lineRule="exact"/>
        <w:rPr>
          <w:rFonts w:ascii="Times New Roman" w:cs="Times New Roman" w:eastAsia="Times New Roman" w:hAnsi="Times New Roman"/>
          <w:sz w:val="18"/>
          <w:szCs w:val="18"/>
          <w:color w:val="auto"/>
        </w:rPr>
      </w:pPr>
    </w:p>
    <w:p>
      <w:pPr>
        <w:ind w:left="1900" w:hanging="656"/>
        <w:spacing w:after="0" w:line="282" w:lineRule="auto"/>
        <w:tabs>
          <w:tab w:leader="none" w:pos="1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all of the Directors (unless otherwise specifically provided by the terms of issue of the shares of such class or series); or</w:t>
      </w:r>
    </w:p>
    <w:p>
      <w:pPr>
        <w:spacing w:after="0" w:line="161" w:lineRule="exact"/>
        <w:rPr>
          <w:rFonts w:ascii="Times New Roman" w:cs="Times New Roman" w:eastAsia="Times New Roman" w:hAnsi="Times New Roman"/>
          <w:sz w:val="18"/>
          <w:szCs w:val="18"/>
          <w:color w:val="auto"/>
        </w:rPr>
      </w:pPr>
    </w:p>
    <w:p>
      <w:pPr>
        <w:ind w:left="1900" w:hanging="656"/>
        <w:spacing w:after="0"/>
        <w:tabs>
          <w:tab w:leader="none" w:pos="1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general meetings of the holders of Class B Shares, the Founder.</w:t>
      </w:r>
    </w:p>
    <w:p>
      <w:pPr>
        <w:spacing w:after="0" w:line="225"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 (a) above, nothing in this Article 10 shall be deemed to give any Member the right to call a class or series meeting; and</w:t>
      </w:r>
    </w:p>
    <w:p>
      <w:pPr>
        <w:spacing w:after="0" w:line="161"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at least one-third of the issues shares of the class or series and that any holder of shares of the class or series present in person or by proxy may demand a poll.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Shares issued with preferred or other rights.</w:t>
      </w:r>
    </w:p>
    <w:p>
      <w:pPr>
        <w:spacing w:after="0" w:line="172"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Commission on Sale of Shares</w:t>
      </w:r>
    </w:p>
    <w:p>
      <w:pPr>
        <w:spacing w:after="0" w:line="22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76"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Non Recognition of Trusts</w:t>
      </w:r>
    </w:p>
    <w:p>
      <w:pPr>
        <w:spacing w:after="0" w:line="22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8"/>
          <w:szCs w:val="18"/>
          <w:color w:val="auto"/>
        </w:rPr>
        <w:t>No Person shall be recognised by the Company as holding any share upon any trust (other than any trust recognized as a Permitted Entity or Permitted Transferee). 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It is understood that a Proxy and Voting Deed shall not be the holding of any share upon a trust.</w:t>
      </w:r>
    </w:p>
    <w:p>
      <w:pPr>
        <w:spacing w:after="0" w:line="179"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Lien on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18" w:name="page19"/>
    <w:bookmarkEnd w:id="18"/>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72"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225"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19" w:name="page20"/>
    <w:bookmarkEnd w:id="19"/>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58"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forfeited Share (other than a Class B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3"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72" w:lineRule="exact"/>
        <w:rPr>
          <w:sz w:val="20"/>
          <w:szCs w:val="20"/>
          <w:color w:val="auto"/>
        </w:rPr>
      </w:pPr>
    </w:p>
    <w:p>
      <w:pPr>
        <w:ind w:left="2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20" w:name="page21"/>
    <w:bookmarkEnd w:id="20"/>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18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9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Rights and Restrictions Attaching to Ordinary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Except as otherwise included in these Articles (including Articles 17.3 and 23.1), the rights attaching to the Class A Shares and Class B Shares shall have the same rights and powers,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(including as to dividends, distributions, and upon the occurrence of any liquidation or winding up of the Company), share ratably and be identical in all respects as to all matters, unless different treatment of the shares of each such class is approved by the affirmative vote of the holders of the Class A Shares and the Class B Shares, each voting exclusively and as a separate class.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Holders of Ordinary Shares have the right to receive notice of, attend, speak and vote at general meetings of the Company. Except as set forth in these Articles (including Articles 17.3, 17.4 and 23.1), holders of Class A Shares and Class B Shares shall at all times vote together as one class on all matters submitted to a vote for Members’ consent. On all matters subject to a vote of the Members, Ordinary Shares shall be entitled to the voting rights as set forth in Article 23.</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21" w:name="page22"/>
    <w:bookmarkEnd w:id="2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In addition to any rights provided by applicable law or otherwise set forth in these Articles, the Company shall not, without the approval by vote or written consent of the holders of a majority of the voting power of the Class B Shares, voting exclusively and as a separate class, directly or indirectly, or whether by amendment or through merger, recapitalization, consolidation or otherwise:</w:t>
      </w:r>
    </w:p>
    <w:p>
      <w:pPr>
        <w:spacing w:after="0" w:line="176" w:lineRule="exact"/>
        <w:rPr>
          <w:sz w:val="20"/>
          <w:szCs w:val="20"/>
          <w:color w:val="auto"/>
        </w:rPr>
      </w:pPr>
    </w:p>
    <w:p>
      <w:pPr>
        <w:ind w:left="920" w:hanging="32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authorized Class B Shares;</w:t>
      </w:r>
    </w:p>
    <w:p>
      <w:pPr>
        <w:spacing w:after="0" w:line="225" w:lineRule="exact"/>
        <w:rPr>
          <w:rFonts w:ascii="Times New Roman" w:cs="Times New Roman" w:eastAsia="Times New Roman" w:hAnsi="Times New Roman"/>
          <w:sz w:val="18"/>
          <w:szCs w:val="18"/>
          <w:color w:val="auto"/>
        </w:rPr>
      </w:pPr>
    </w:p>
    <w:p>
      <w:pPr>
        <w:jc w:val="both"/>
        <w:ind w:left="920" w:hanging="324"/>
        <w:spacing w:after="0" w:line="266"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Class B Shares or securities convertible into or exchangeable for Class B Shares, other than to Founder or his Affiliates (provided, that his Affiliate shall have executed an original, a counterpart of, or a deed of adherence with respect to, a Proxy and Voting Deed in respect of such Class B Shares);</w:t>
      </w:r>
    </w:p>
    <w:p>
      <w:pPr>
        <w:spacing w:after="0" w:line="175"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issue, or reclassify into, any Preference Shares or any shares in the capital of the Company that carry more than one (1) vote per share;</w:t>
      </w:r>
    </w:p>
    <w:p>
      <w:pPr>
        <w:spacing w:after="0" w:line="161"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any Class B Shares into any other class of shares or consolidate or combine any Class B Shares without proportionately increasing the number of votes per Class B Share; or</w:t>
      </w:r>
    </w:p>
    <w:p>
      <w:pPr>
        <w:spacing w:after="0" w:line="161"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waive, adopt any provision inconsistent with or otherwise vary or alter any provision of the Memorandum or these Articles relating to the voting, conversion or other rights, powers, preferences, privileges or restrictions of the Class B Shares.</w:t>
      </w:r>
    </w:p>
    <w:p>
      <w:pPr>
        <w:spacing w:after="0" w:line="162"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Optional and Automatic Conversion of Class B Shares:</w:t>
      </w:r>
    </w:p>
    <w:p>
      <w:pPr>
        <w:spacing w:after="0" w:line="225" w:lineRule="exact"/>
        <w:rPr>
          <w:sz w:val="20"/>
          <w:szCs w:val="20"/>
          <w:color w:val="auto"/>
        </w:rPr>
      </w:pPr>
    </w:p>
    <w:p>
      <w:pPr>
        <w:jc w:val="both"/>
        <w:ind w:left="920" w:hanging="324"/>
        <w:spacing w:after="0" w:line="266"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is convertible into one (1) Class A Share (as adjusted for share splits, share combinations and similar transactions occurring after the Merger Effective Date) at any time at the option of the holder thereof. In no event shall any Class A Share be convertible into any Class B Shares;</w:t>
      </w:r>
    </w:p>
    <w:p>
      <w:pPr>
        <w:spacing w:after="0" w:line="175"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will automatically convert into one (1) Class A Share (as adjusted for share splits, share combinations and similar transactions occurring after the Merger Effective Date) on the earliest to occur of 5:00 p.m., Cayman Islands time:</w:t>
      </w:r>
    </w:p>
    <w:p>
      <w:pPr>
        <w:spacing w:after="0" w:line="161"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Founder’s death or Incapacity; or</w:t>
      </w:r>
    </w:p>
    <w:p>
      <w:pPr>
        <w:spacing w:after="0" w:line="225" w:lineRule="exact"/>
        <w:rPr>
          <w:rFonts w:ascii="Times New Roman" w:cs="Times New Roman" w:eastAsia="Times New Roman" w:hAnsi="Times New Roman"/>
          <w:sz w:val="18"/>
          <w:szCs w:val="18"/>
          <w:color w:val="auto"/>
        </w:rPr>
      </w:pPr>
    </w:p>
    <w:p>
      <w:pPr>
        <w:jc w:val="both"/>
        <w:ind w:left="1560" w:hanging="316"/>
        <w:spacing w:after="0" w:line="261" w:lineRule="auto"/>
        <w:tabs>
          <w:tab w:leader="none" w:pos="1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date determined by the Board during the period commencing 90 days after, and ending 180 days after, the date on which Founder is terminated for Cause (and in the event of a dispute regarding whether there was Cause, Cause will be deemed not to exist unless and until an affirmative ruling regarding such Cause has been made by a court or arbitral panel of competent jurisdiction, and such ruling has become final and non-appealable);</w:t>
      </w:r>
    </w:p>
    <w:p>
      <w:pPr>
        <w:spacing w:after="0" w:line="179"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Class B Shares shall be issued by the Company after conversion of all Class B Shares into Class A Shares;</w:t>
      </w:r>
    </w:p>
    <w:p>
      <w:pPr>
        <w:spacing w:after="0" w:line="225" w:lineRule="exact"/>
        <w:rPr>
          <w:rFonts w:ascii="Times New Roman" w:cs="Times New Roman" w:eastAsia="Times New Roman" w:hAnsi="Times New Roman"/>
          <w:sz w:val="18"/>
          <w:szCs w:val="18"/>
          <w:color w:val="auto"/>
        </w:rPr>
      </w:pPr>
    </w:p>
    <w:p>
      <w:pPr>
        <w:jc w:val="both"/>
        <w:ind w:left="920" w:hanging="324"/>
        <w:spacing w:after="0" w:line="253"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pledge, transfer, assignment or other disposition of Class B Shares by a holder thereof to any Person which is not a Permitted Transferee of such holder, each such Class B Share shall be automatically and immediately converted into one (1) Class A Share (as adjusted for share splits, share combinations and similar transactions occurring after the Acquisition Effective Time); provided that, notwithstanding anything to the contrary in these Articles, any pledge of Class B Shares by a holder thereof that creates a security interest in such Class B Shares pursuant to a bona fide loan or indebtedness transaction shall be permitted (and not result in any such conversion) for so long as Founder or his Affiliates continue to control, directly or indirectly, the exercise of the voting rights of such pledged Class B Shares; provided, further, however, that a foreclosure on such Class B Shares or other similar action by the pledgee will result in automatic and immediate conversion of such Class B Shares into Class A Shares unless the transferee in such foreclosure or similar action qualifies as a Permitted Transferee at such time. For the avoidance of doubt, any sale, pledge, transfer, assignment or disposition of Class B Shares to a Permitted Transferee does not result in automatic conversion into Class A Shares.</w:t>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22" w:name="page23"/>
    <w:bookmarkEnd w:id="22"/>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Company may, from time to time, establish such policies and procedures relating to the conversion of the Class B Shares to Class A Shares, including the issuance of share certificates with respect thereto, as it may deem necessary or advisable.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and if at any time the number of authorized but unissued Class A Shares shall not be sufficient to effect the conversion of all then-outstanding Class B Shares, the Company will take such corporate action as may, in the opinion of its counsel, be necessary to increase its authorized but unissued Class A Shares to such numbers of shares as shall be sufficient for such purpose.</w:t>
      </w:r>
    </w:p>
    <w:p>
      <w:pPr>
        <w:spacing w:after="0" w:line="179"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The Company may by Ordinary Resolution, subject to the rights of the Class B Shares, including under Article 17.3:</w:t>
      </w:r>
    </w:p>
    <w:p>
      <w:pPr>
        <w:spacing w:after="0" w:line="225" w:lineRule="exact"/>
        <w:rPr>
          <w:sz w:val="20"/>
          <w:szCs w:val="20"/>
          <w:color w:val="auto"/>
        </w:rPr>
      </w:pPr>
    </w:p>
    <w:p>
      <w:pPr>
        <w:ind w:left="920" w:right="20" w:hanging="324"/>
        <w:spacing w:after="0" w:line="282" w:lineRule="auto"/>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920" w:right="20" w:hanging="324"/>
        <w:spacing w:after="0" w:line="266" w:lineRule="auto"/>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provided, that in the subdivision the amount paid and the amount, if any, unpaid on each reduced share shall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Subject to the rights of the Class B Shares, including under Article 17.3(e), the provisions of the Statute, the provisions of the Articles as regards the matters to be dealt with by Ordinary Resolution, the Company may by Special Resolution:</w:t>
      </w:r>
    </w:p>
    <w:p>
      <w:pPr>
        <w:spacing w:after="0" w:line="162" w:lineRule="exact"/>
        <w:rPr>
          <w:sz w:val="20"/>
          <w:szCs w:val="20"/>
          <w:color w:val="auto"/>
        </w:rPr>
      </w:pPr>
    </w:p>
    <w:p>
      <w:pPr>
        <w:ind w:left="920" w:hanging="32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23" w:name="page24"/>
    <w:bookmarkEnd w:id="23"/>
    <w:p>
      <w:pPr>
        <w:ind w:left="920" w:hanging="32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221"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Offices and Places of Business</w:t>
      </w:r>
    </w:p>
    <w:p>
      <w:pPr>
        <w:spacing w:after="0" w:line="229"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8"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Company shall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Directors, the chief executive officer or the Chairman may call general meetings, and, for the avoidance of doubt, Members shall not have the ability to call general meetings.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183"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3" w:lineRule="exact"/>
        <w:rPr>
          <w:sz w:val="20"/>
          <w:szCs w:val="20"/>
          <w:color w:val="auto"/>
        </w:rPr>
      </w:pPr>
    </w:p>
    <w:p>
      <w:pPr>
        <w:ind w:left="920" w:hanging="32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Members (or their proxies) having the right to attend and vote at the meeting, together holding shares entitling the holders thereof to not less than two-thirds of the votes entitled to be cast at such extraordinary meeting.</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24" w:name="page25"/>
    <w:bookmarkEnd w:id="24"/>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accidental omission to give notice of a general meeting to, or the non-receipt of notice of a general meeting by, any Person entitled to receive such notice shall not invalidate the proceedings of that general meeting.</w:t>
      </w:r>
    </w:p>
    <w:p>
      <w:pPr>
        <w:spacing w:after="0" w:line="158"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No business shall be transacted at any general meeting unless a quorum of Members is present. The holders of a majority of the Class B Shares being individuals present in Person or by proxy or if a corporation or other non-natural Person by its duly authorised representative or proxy shall be a quorum for all purposes; provided, that the presence in person or by proxy of holders of a majority of the Class B Shares shall be required in any event.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If provided by the Company,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The Directors may, at the time prior to the time appointed for the meeting to commence, appoint any Person to act as a chairman of a general meeting or, if the Directors do not make any such appointment, the chairman, if any, of the board of Directors (as elected by a majority of the Directors in accordance with Article 31.7) shall preside as chairman at such general meeting. If there is no chairman present, or if the chairman is unwilling to act, the Directors present shall elect one of their number to be chairman of the meeting. The voting rights of the Chairman, if a Director, as to the matters to be decided by the Board of Directors shall be the same as other Directors.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(provided, that no special meeting called by the holders of Class B Shares may be adjourned unless a quorum does not exist), but no business shall be transacted at any adjourned meeting other than the business left unfinished at the meeting from which the adjournment took place.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When a general meeting is adjourned for thirty days or more, notice of the adjourned meeting shall be given as in the case of an original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20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25" w:name="page26"/>
    <w:bookmarkEnd w:id="25"/>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A poll shall be taken as the chairman directs, and the result of the poll shall be deemed to be the resolution of the general meeting at which the poll was demanded.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22.10</w:t>
      </w:r>
      <w:r>
        <w:rPr>
          <w:sz w:val="20"/>
          <w:szCs w:val="20"/>
          <w:color w:val="auto"/>
        </w:rPr>
        <w:tab/>
      </w:r>
      <w:r>
        <w:rPr>
          <w:rFonts w:ascii="Times New Roman" w:cs="Times New Roman" w:eastAsia="Times New Roman" w:hAnsi="Times New Roman"/>
          <w:sz w:val="18"/>
          <w:szCs w:val="18"/>
          <w:color w:val="auto"/>
        </w:rPr>
        <w:t>A poll demanded on the election of a chairman or on a question of adjournment shall be taken forthwith (provided, that no special meeting called by a holder of Class B Shares may be adjourned unless a quorum does not exist).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0"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22.11</w:t>
      </w:r>
      <w:r>
        <w:rPr>
          <w:sz w:val="20"/>
          <w:szCs w:val="20"/>
          <w:color w:val="auto"/>
        </w:rPr>
        <w:tab/>
      </w:r>
      <w:r>
        <w:rPr>
          <w:rFonts w:ascii="Times New Roman" w:cs="Times New Roman" w:eastAsia="Times New Roman" w:hAnsi="Times New Roman"/>
          <w:sz w:val="17"/>
          <w:szCs w:val="17"/>
          <w:color w:val="auto"/>
        </w:rPr>
        <w:t>In the case of an equality of votes the chairman shall be entitled to a second or casting vote.</w:t>
      </w:r>
    </w:p>
    <w:p>
      <w:pPr>
        <w:spacing w:after="0" w:line="221"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Subject to any rights or restrictions attached to any Shares, including in Articles 17.3 and 17.4, each Class A Share shall be entitled to one (1) vote on all matters subject to a vote of Members, and each Class B Share shall be entitled to ten (10) votes on all matters subject to a vote of Members.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6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26" w:name="page27"/>
    <w:bookmarkEnd w:id="26"/>
    <w:p>
      <w:pPr>
        <w:ind w:left="8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76" w:lineRule="exact"/>
        <w:rPr>
          <w:sz w:val="20"/>
          <w:szCs w:val="20"/>
          <w:color w:val="auto"/>
        </w:rPr>
      </w:pPr>
    </w:p>
    <w:p>
      <w:pPr>
        <w:ind w:left="28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27" w:name="page28"/>
    <w:bookmarkEnd w:id="27"/>
    <w:p>
      <w:pPr>
        <w:ind w:left="18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Shares that May Not be Voted</w:t>
      </w:r>
    </w:p>
    <w:p>
      <w:pPr>
        <w:spacing w:after="0" w:line="229"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Treasury Shares and other shares in the Company that are beneficially owned by the Company shall not be voted, directly or indirectly, at any meeting and shall not be counted in determining the total number of outstanding Shares at any given time.</w:t>
      </w:r>
    </w:p>
    <w:p>
      <w:pPr>
        <w:spacing w:after="0" w:line="158" w:lineRule="exact"/>
        <w:rPr>
          <w:sz w:val="20"/>
          <w:szCs w:val="20"/>
          <w:color w:val="auto"/>
        </w:rPr>
      </w:pPr>
    </w:p>
    <w:p>
      <w:pPr>
        <w:ind w:left="68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There shall be a board of Directors consisting of not less than one Person provided however that the Company may by Ordinary Resolution increase or reduce the limits in the number of Directors.</w:t>
      </w:r>
    </w:p>
    <w:p>
      <w:pPr>
        <w:spacing w:after="0" w:line="16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appointed for a term expiring at the Company’s first annual general meeting, the Class II Directors shall stand appointed for a term expiring at the Company’s second annual general meeting and the Class III Directors shall stand appointed for a term expiring at the Company’s third annual general meeting. Commencing at the Company’s first annual general meeting, and at each annual general meeting thereafter, Directors appointed to succeed those Directors whose terms expire shall be appointed for a term of office to expire at the third succeeding annual general meeting after their appointment. Except as the Statute or other Applicable Law may otherwise require, in the interim between annual general meetings or extraordinary general meetings called for the appointment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appointed and qualified. A Director appointed to fill a vacancy resulting from the death, resignation or removal of a Director shall serve for the remainder of the full term of the Director whose death, resignation or removal shall have created such vacancy and until his successor shall have been appointed and qualified.</w:t>
      </w:r>
    </w:p>
    <w:p>
      <w:pPr>
        <w:spacing w:after="0" w:line="193"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28" w:name="page29"/>
    <w:bookmarkEnd w:id="28"/>
    <w:p>
      <w:pPr>
        <w:ind w:left="12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7"/>
          <w:szCs w:val="17"/>
          <w:color w:val="auto"/>
        </w:rPr>
        <w:t>The Company may by Ordinary Resolution appoint any Person to be a Director or may by Ordinary Resolution remove any Director.</w:t>
      </w:r>
    </w:p>
    <w:p>
      <w:pPr>
        <w:spacing w:after="0" w:line="221"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Vacation of Office of Director</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Notwithstanding anything in these Articles, the office of a Director shall be vacated if:</w:t>
      </w:r>
    </w:p>
    <w:p>
      <w:pPr>
        <w:spacing w:after="0" w:line="225" w:lineRule="exact"/>
        <w:rPr>
          <w:sz w:val="20"/>
          <w:szCs w:val="20"/>
          <w:color w:val="auto"/>
        </w:rPr>
      </w:pPr>
    </w:p>
    <w:p>
      <w:pPr>
        <w:ind w:left="920" w:hanging="32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225" w:lineRule="exact"/>
        <w:rPr>
          <w:rFonts w:ascii="Times New Roman" w:cs="Times New Roman" w:eastAsia="Times New Roman" w:hAnsi="Times New Roman"/>
          <w:sz w:val="18"/>
          <w:szCs w:val="18"/>
          <w:color w:val="auto"/>
        </w:rPr>
      </w:pPr>
    </w:p>
    <w:p>
      <w:pPr>
        <w:jc w:val="both"/>
        <w:ind w:left="920" w:hanging="324"/>
        <w:spacing w:after="0" w:line="266"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17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jc w:val="both"/>
        <w:ind w:left="920" w:hanging="324"/>
        <w:spacing w:after="0" w:line="266"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any Director (other than Founder), a licensed medical practitioner who has evaluated that Director gives a written opinion to the Company stating he or she has become physically or mentally incapable of acting as a Director (with reasonable accommodations) and may remain so for more than three (3) months, or (ii) with respect to Founder his Incapacity shall have been determined.</w:t>
      </w:r>
    </w:p>
    <w:p>
      <w:pPr>
        <w:spacing w:after="0" w:line="172" w:lineRule="exact"/>
        <w:rPr>
          <w:sz w:val="20"/>
          <w:szCs w:val="20"/>
          <w:color w:val="auto"/>
        </w:rPr>
      </w:pPr>
    </w:p>
    <w:p>
      <w:pPr>
        <w:ind w:left="2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The quorum for the transaction of the business of the Directors may be fixed by the Directors, and unless so fixed shall be a majority of the Directors then in office.</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29" w:name="page30"/>
    <w:bookmarkEnd w:id="29"/>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58" w:lineRule="exact"/>
        <w:rPr>
          <w:sz w:val="20"/>
          <w:szCs w:val="20"/>
          <w:color w:val="auto"/>
        </w:rPr>
      </w:pPr>
    </w:p>
    <w:p>
      <w:pPr>
        <w:ind w:left="2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30" w:name="page31"/>
    <w:bookmarkEnd w:id="30"/>
    <w:p>
      <w:pPr>
        <w:ind w:left="3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33.5</w:t>
      </w:r>
      <w:r>
        <w:rPr>
          <w:sz w:val="20"/>
          <w:szCs w:val="20"/>
          <w:color w:val="auto"/>
        </w:rPr>
        <w:tab/>
      </w:r>
      <w:r>
        <w:rPr>
          <w:rFonts w:ascii="Times New Roman" w:cs="Times New Roman" w:eastAsia="Times New Roman" w:hAnsi="Times New Roman"/>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76" w:lineRule="exact"/>
        <w:rPr>
          <w:sz w:val="20"/>
          <w:szCs w:val="20"/>
          <w:color w:val="auto"/>
        </w:rPr>
      </w:pPr>
    </w:p>
    <w:p>
      <w:pPr>
        <w:ind w:left="7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Minutes</w:t>
      </w:r>
    </w:p>
    <w:p>
      <w:pPr>
        <w:spacing w:after="0" w:line="229"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72"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31" w:name="page32"/>
    <w:bookmarkEnd w:id="31"/>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8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8"/>
          <w:szCs w:val="18"/>
          <w:color w:val="auto"/>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19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Times New Roman" w:cs="Times New Roman" w:eastAsia="Times New Roman" w:hAnsi="Times New Roman"/>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17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8"/>
          <w:szCs w:val="18"/>
          <w:b w:val="1"/>
          <w:bCs w:val="1"/>
          <w:color w:val="auto"/>
        </w:rPr>
        <w:t>No Minimum Shareholding</w:t>
      </w:r>
    </w:p>
    <w:p>
      <w:pPr>
        <w:spacing w:after="0" w:line="229"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32" w:name="page33"/>
    <w:bookmarkEnd w:id="32"/>
    <w:p>
      <w:pPr>
        <w:ind w:left="20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Remuneration of Directors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remuneration to be paid to the Directors, if any, shall be such remuneration as the Directors shall determine. The Directors shall also be entitled to be paid all travelling, hotel and other expenses properly and reasonably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72" w:lineRule="exact"/>
        <w:rPr>
          <w:sz w:val="20"/>
          <w:szCs w:val="20"/>
          <w:color w:val="auto"/>
        </w:rPr>
      </w:pPr>
    </w:p>
    <w:p>
      <w:pPr>
        <w:ind w:left="14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2" w:lineRule="exact"/>
        <w:rPr>
          <w:sz w:val="20"/>
          <w:szCs w:val="20"/>
          <w:color w:val="auto"/>
        </w:rPr>
      </w:pPr>
    </w:p>
    <w:p>
      <w:pPr>
        <w:ind w:left="1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Notwithstanding anything contained in these Articles, no Dividend shall be made on any Class A Shares unless a Dividend in equal proportion is made on the Class B Shares.</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33" w:name="page34"/>
    <w:bookmarkEnd w:id="33"/>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8"/>
          <w:szCs w:val="18"/>
          <w:color w:val="auto"/>
        </w:rPr>
        <w:t>The Directors may deduct from any Dividend or other distribution payable to any Member all sums of money (if any) then payable by him to the Company on account of calls or otherwise.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39.5</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39.7</w:t>
      </w:r>
      <w:r>
        <w:rPr>
          <w:sz w:val="20"/>
          <w:szCs w:val="20"/>
          <w:color w:val="auto"/>
        </w:rPr>
        <w:tab/>
      </w:r>
      <w:r>
        <w:rPr>
          <w:rFonts w:ascii="Times New Roman" w:cs="Times New Roman" w:eastAsia="Times New Roman" w:hAnsi="Times New Roman"/>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8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39.8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39.9</w:t>
      </w:r>
      <w:r>
        <w:rPr>
          <w:sz w:val="20"/>
          <w:szCs w:val="20"/>
          <w:color w:val="auto"/>
        </w:rPr>
        <w:tab/>
      </w:r>
      <w:r>
        <w:rPr>
          <w:rFonts w:ascii="Times New Roman" w:cs="Times New Roman" w:eastAsia="Times New Roman" w:hAnsi="Times New Roman"/>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79" w:lineRule="exact"/>
        <w:rPr>
          <w:sz w:val="20"/>
          <w:szCs w:val="20"/>
          <w:color w:val="auto"/>
        </w:rPr>
      </w:pPr>
    </w:p>
    <w:p>
      <w:pPr>
        <w:ind w:left="4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8"/>
          <w:szCs w:val="18"/>
          <w:b w:val="1"/>
          <w:bCs w:val="1"/>
          <w:color w:val="auto"/>
        </w:rPr>
        <w:t>Capitalisation</w:t>
      </w:r>
    </w:p>
    <w:p>
      <w:pPr>
        <w:spacing w:after="0" w:line="229"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34" w:name="page35"/>
    <w:bookmarkEnd w:id="34"/>
    <w:p>
      <w:pPr>
        <w:ind w:left="3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Books of Account</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58"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7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35" w:name="page36"/>
    <w:bookmarkEnd w:id="35"/>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color w:val="auto"/>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179" w:lineRule="exact"/>
        <w:rPr>
          <w:sz w:val="20"/>
          <w:szCs w:val="20"/>
          <w:color w:val="auto"/>
        </w:rPr>
      </w:pPr>
    </w:p>
    <w:p>
      <w:pPr>
        <w:ind w:left="8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83" w:lineRule="exact"/>
        <w:rPr>
          <w:sz w:val="20"/>
          <w:szCs w:val="20"/>
          <w:color w:val="auto"/>
        </w:rPr>
      </w:pPr>
    </w:p>
    <w:p>
      <w:pPr>
        <w:ind w:left="240"/>
        <w:spacing w:after="0"/>
        <w:tabs>
          <w:tab w:leader="none" w:pos="86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225" w:lineRule="exact"/>
        <w:rPr>
          <w:sz w:val="20"/>
          <w:szCs w:val="20"/>
          <w:color w:val="auto"/>
        </w:rPr>
      </w:pPr>
    </w:p>
    <w:p>
      <w:pPr>
        <w:jc w:val="both"/>
        <w:ind w:left="920" w:hanging="324"/>
        <w:spacing w:after="0" w:line="266"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175" w:lineRule="exact"/>
        <w:rPr>
          <w:rFonts w:ascii="Times New Roman" w:cs="Times New Roman" w:eastAsia="Times New Roman" w:hAnsi="Times New Roman"/>
          <w:sz w:val="18"/>
          <w:szCs w:val="18"/>
          <w:color w:val="auto"/>
        </w:rPr>
      </w:pPr>
    </w:p>
    <w:p>
      <w:pPr>
        <w:jc w:val="both"/>
        <w:ind w:left="920" w:hanging="324"/>
        <w:spacing w:after="0" w:line="266"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75"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36" w:name="page37"/>
    <w:bookmarkEnd w:id="36"/>
    <w:p>
      <w:pPr>
        <w:jc w:val="both"/>
        <w:ind w:left="920" w:hanging="324"/>
        <w:spacing w:after="0" w:line="266" w:lineRule="auto"/>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75"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9"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62" w:lineRule="exact"/>
        <w:rPr>
          <w:sz w:val="20"/>
          <w:szCs w:val="20"/>
          <w:color w:val="auto"/>
        </w:rPr>
      </w:pPr>
    </w:p>
    <w:p>
      <w:pPr>
        <w:jc w:val="both"/>
        <w:ind w:left="920" w:hanging="324"/>
        <w:spacing w:after="0" w:line="266"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75" w:lineRule="exact"/>
        <w:rPr>
          <w:rFonts w:ascii="Times New Roman" w:cs="Times New Roman" w:eastAsia="Times New Roman" w:hAnsi="Times New Roman"/>
          <w:sz w:val="18"/>
          <w:szCs w:val="18"/>
          <w:color w:val="auto"/>
        </w:rPr>
      </w:pPr>
    </w:p>
    <w:p>
      <w:pPr>
        <w:jc w:val="both"/>
        <w:ind w:left="920" w:hanging="324"/>
        <w:spacing w:after="0" w:line="261"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7" w:right="339" w:bottom="1440" w:gutter="0" w:footer="0" w:header="0"/>
        </w:sectPr>
      </w:pPr>
    </w:p>
    <w:bookmarkStart w:id="37" w:name="page38"/>
    <w:bookmarkEnd w:id="37"/>
    <w:p>
      <w:pPr>
        <w:ind w:left="2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Every Director and Officer (which for the avoidance of doubt, shall not include auditors of the Company), together with every former Director 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19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72"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jc w:val="both"/>
        <w:ind w:left="600"/>
        <w:spacing w:after="0" w:line="282" w:lineRule="auto"/>
        <w:rPr>
          <w:sz w:val="20"/>
          <w:szCs w:val="20"/>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8"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b w:val="1"/>
          <w:bCs w:val="1"/>
          <w:color w:val="auto"/>
        </w:rPr>
        <w:t>Transfer by Way of Continuation</w:t>
      </w:r>
    </w:p>
    <w:p>
      <w:pPr>
        <w:spacing w:after="0" w:line="229"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2"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8"/>
          <w:szCs w:val="18"/>
          <w:b w:val="1"/>
          <w:bCs w:val="1"/>
          <w:color w:val="auto"/>
        </w:rPr>
        <w:t>Mergers and Consolidations</w:t>
      </w:r>
    </w:p>
    <w:p>
      <w:pPr>
        <w:spacing w:after="0" w:line="229" w:lineRule="exact"/>
        <w:rPr>
          <w:sz w:val="20"/>
          <w:szCs w:val="20"/>
          <w:color w:val="auto"/>
        </w:rPr>
      </w:pPr>
    </w:p>
    <w:p>
      <w:pPr>
        <w:jc w:val="both"/>
        <w:ind w:left="600"/>
        <w:spacing w:after="0" w:line="282" w:lineRule="auto"/>
        <w:rPr>
          <w:sz w:val="20"/>
          <w:szCs w:val="20"/>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38" w:name="page39"/>
    <w:bookmarkEnd w:id="38"/>
    <w:p>
      <w:pPr>
        <w:ind w:left="2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Business Opportunities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color w:val="auto"/>
        </w:rPr>
        <w:t>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49.3</w:t>
      </w:r>
      <w:r>
        <w:rPr>
          <w:sz w:val="20"/>
          <w:szCs w:val="20"/>
          <w:color w:val="auto"/>
        </w:rPr>
        <w:tab/>
      </w:r>
      <w:r>
        <w:rPr>
          <w:rFonts w:ascii="Times New Roman" w:cs="Times New Roman" w:eastAsia="Times New Roman" w:hAnsi="Times New Roman"/>
          <w:sz w:val="18"/>
          <w:szCs w:val="18"/>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24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24 APRIL 2026)</w:t>
      </w:r>
    </w:p>
    <w:p>
      <w:pPr>
        <w:spacing w:after="0" w:line="22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SAIHEAT Limited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BOLDER CORPORATE SERVICES (CAYMAN) LIMITED, 3-212 Governors Square, 23 Lime Tree Bay Avenue, P.O. Box 30746, Seven Mile Beach, Grand Cayman KY1-1203, Cayman Islands, or at such other place within the Cayman Islands as the Directors may decide.</w:t>
      </w:r>
    </w:p>
    <w:p>
      <w:pPr>
        <w:spacing w:after="0" w:line="176" w:lineRule="exact"/>
        <w:rPr>
          <w:sz w:val="20"/>
          <w:szCs w:val="20"/>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80" w:lineRule="exact"/>
        <w:rPr>
          <w:sz w:val="20"/>
          <w:szCs w:val="20"/>
          <w:color w:val="auto"/>
        </w:rPr>
      </w:pPr>
    </w:p>
    <w:p>
      <w:pPr>
        <w:jc w:val="both"/>
        <w:ind w:left="660" w:hanging="652"/>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80"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225" w:lineRule="exact"/>
        <w:rPr>
          <w:sz w:val="20"/>
          <w:szCs w:val="20"/>
          <w:color w:val="auto"/>
        </w:rPr>
      </w:pPr>
    </w:p>
    <w:p>
      <w:pPr>
        <w:jc w:val="both"/>
        <w:ind w:left="660" w:hanging="652"/>
        <w:spacing w:after="0" w:line="25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US$35,000 divided into 22,024,624 class A ordinary shares of a par value of US$0.0015 each, 642,043 convertible class B ordinary shares of a par value of US$0.0015 each, and 666,666 preference shares of a par value of US$0.0015 each. Subject to the provisions of the Statue and the Articles, the Company has the power to redeem or purchase any of its shares and to increase or reduce the share capital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89" w:lineRule="exact"/>
        <w:rPr>
          <w:sz w:val="20"/>
          <w:szCs w:val="20"/>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62" w:lineRule="exact"/>
        <w:rPr>
          <w:sz w:val="20"/>
          <w:szCs w:val="20"/>
          <w:color w:val="auto"/>
        </w:rPr>
      </w:pPr>
    </w:p>
    <w:p>
      <w:pPr>
        <w:ind w:left="5580" w:right="2060" w:hanging="5572"/>
        <w:spacing w:after="0" w:line="783" w:lineRule="auto"/>
        <w:tabs>
          <w:tab w:leader="none" w:pos="6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bear the respective meanings given to them in the Articles.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24 APRIL 2026)</w:t>
      </w:r>
    </w:p>
    <w:p>
      <w:pPr>
        <w:spacing w:after="0" w:line="22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 the following words shall have the following meaning: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 (a) in the case</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a natural Person, shall include, without limitation, such Person’s spouse, parents, children, siblings,</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mother-in-law and father-in-law and brothers and sisters-in-law, whether by blood, marriage or adoption or</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anyone residing in such Person’s home, a trust for the benefit of any of the foregoing, a company,</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partnership or any natural Person or entity wholly or jointly owned by any of the foregoing and (b) in the</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case of an entity, shall include a partnership, a corporation or any natural Person or entity which directly, or</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indirectly through one or more intermediaries, controls, is controlled by, or is under common control with,</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such entity.</w:t>
            </w:r>
          </w:p>
        </w:tc>
      </w:tr>
      <w:tr>
        <w:trPr>
          <w:trHeight w:val="414"/>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certificates, judgments, decisions, decrees or orders of any governmental authority applicable to such</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Person.</w:t>
            </w:r>
          </w:p>
        </w:tc>
      </w:tr>
      <w:tr>
        <w:trPr>
          <w:trHeight w:val="414"/>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these articles of association of the Company, as amended, supplemented and/or restated from time to</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time.</w:t>
            </w:r>
          </w:p>
        </w:tc>
      </w:tr>
      <w:tr>
        <w:trPr>
          <w:trHeight w:val="414"/>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audit committee of the board of directors of the Company established pursuant to the Articles, or</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any successor committee.</w:t>
            </w:r>
          </w:p>
        </w:tc>
      </w:tr>
      <w:tr>
        <w:trPr>
          <w:trHeight w:val="432"/>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tc>
      </w:tr>
      <w:tr>
        <w:trPr>
          <w:trHeight w:val="655"/>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3"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that  certain  Business  Combination  Agreement  among  the  Company  (f/k/a  TradeUp  Global</w:t>
            </w:r>
          </w:p>
        </w:tc>
      </w:tr>
      <w:tr>
        <w:trPr>
          <w:trHeight w:val="220"/>
        </w:trPr>
        <w:tc>
          <w:tcPr>
            <w:tcW w:w="33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Corporation), TGC Merger Sub, a Cayman Islands exempted company incorporated with limited liability,</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and SAITECH Limited, a Cayman Islands exempted company incorporated with limited liability, dated as of</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27, 2021.</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has the meaning ascribed to such term in Sponsor’s employment agreement with the Company as in effect</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chairman of the board of Directors, if any, appointed by the Directors pursuant to Article 31.7.</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 receipts</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therefor) are listed or quoted on a stock exchange or interdealer quotation system in such jurisdiction.</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class A ordinary share of a par value of US$0.0015 in the share capital of the Company.</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Share”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convertible class B ordinary share of a par value of US$0.0015 in the share capital of the Company.</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Ordinary Shareholder”</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holder of Class B Shares and any Permitted Transferee of such holder so long as such Permitted</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Transferee is a holder of any Class B Shares.</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Articles, or any successor committee.</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trading, including the Nasdaq Capital Market.</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tc>
      </w:tr>
      <w:tr>
        <w:trPr>
          <w:trHeight w:val="41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transmission to any number, address or internet website (including the website of the Securities and</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Exchange Commission) or other electronic delivery methods as otherwise decided and approved by the</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w:t>
            </w:r>
          </w:p>
        </w:tc>
      </w:tr>
      <w:tr>
        <w:trPr>
          <w:trHeight w:val="432"/>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655"/>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333"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Electronic Transactions Act (Revised) of the Cayman Islands.</w:t>
            </w:r>
          </w:p>
        </w:tc>
      </w:tr>
      <w:tr>
        <w:trPr>
          <w:trHeight w:val="414"/>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 statute</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and the rules and regulations of the Securities and Exchange Commission thereunder, all as the same shall be</w:t>
            </w:r>
          </w:p>
        </w:tc>
      </w:tr>
      <w:tr>
        <w:trPr>
          <w:trHeight w:val="234"/>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effect at the time.</w:t>
            </w:r>
          </w:p>
        </w:tc>
      </w:tr>
      <w:tr>
        <w:trPr>
          <w:trHeight w:val="432"/>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“Family Members”</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and includes only the following individuals:</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the applicable individual;</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  the spouse of the applicable individual (including former spouses);</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  the parents of the applicable individual;</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  the lineal descendants of the applicable individual, the siblings of the applicable individual; and</w:t>
            </w:r>
          </w:p>
        </w:tc>
      </w:tr>
      <w:tr>
        <w:trPr>
          <w:trHeight w:val="432"/>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  the lineal descendants of a sibling of the applicable individual.</w:t>
            </w:r>
          </w:p>
        </w:tc>
      </w:tr>
      <w:tr>
        <w:trPr>
          <w:trHeight w:val="414"/>
        </w:trPr>
        <w:tc>
          <w:tcPr>
            <w:tcW w:w="318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purposes of the (a) to (e), the descendants of any individual shall include adopted individuals and their</w:t>
            </w:r>
          </w:p>
        </w:tc>
      </w:tr>
      <w:tr>
        <w:trPr>
          <w:trHeight w:val="234"/>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 but only if the adopted individual was adopted prior to attaining age eighteen.</w:t>
            </w:r>
          </w:p>
        </w:tc>
      </w:tr>
      <w:tr>
        <w:trPr>
          <w:trHeight w:val="432"/>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“Sponsor”</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ultimate beneficial owner of Class B Shares.</w:t>
            </w:r>
          </w:p>
        </w:tc>
      </w:tr>
      <w:tr>
        <w:trPr>
          <w:trHeight w:val="414"/>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“Incapacity”</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with respect to an individual, the permanent and total disability of such individual so that such</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individual is unable to engage in any substantial gainful activity by reason of any medically determinable</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mental impairment which can be expected to result in death or which has lasted or can be expected to last for</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continuous period of not less than twelve (12) months as determined by a licensed medical practitioner. In</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event of a dispute regarding whether an individual has suffered an Incapacity, no Incapacity of such</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individual will be deemed to have occurred unless and until an affirmative ruling regarding such Incapacity</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been made by a court or arbitral panel of competent jurisdiction, and such ruling has become final and</w:t>
            </w:r>
          </w:p>
        </w:tc>
      </w:tr>
      <w:tr>
        <w:trPr>
          <w:trHeight w:val="234"/>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non-appealable.</w:t>
            </w:r>
          </w:p>
        </w:tc>
      </w:tr>
      <w:tr>
        <w:trPr>
          <w:trHeight w:val="414"/>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w:t>
            </w:r>
          </w:p>
        </w:tc>
      </w:tr>
      <w:tr>
        <w:trPr>
          <w:trHeight w:val="234"/>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 the Exchange Act, as the case may be.</w:t>
            </w:r>
          </w:p>
        </w:tc>
      </w:tr>
      <w:tr>
        <w:trPr>
          <w:trHeight w:val="432"/>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414"/>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memorandum of association of the Company, as amended, supplemented and/or restated from</w:t>
            </w:r>
          </w:p>
        </w:tc>
      </w:tr>
      <w:tr>
        <w:trPr>
          <w:trHeight w:val="234"/>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to time.</w:t>
            </w:r>
          </w:p>
        </w:tc>
      </w:tr>
      <w:tr>
        <w:trPr>
          <w:trHeight w:val="432"/>
        </w:trPr>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“Merger”</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655"/>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333"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“Merger Effective Date”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410"/>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w:t>
            </w:r>
          </w:p>
        </w:tc>
      </w:tr>
      <w:tr>
        <w:trPr>
          <w:trHeight w:val="238"/>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established pursuant to the Articles, or any successor committee.</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w:t>
            </w:r>
          </w:p>
        </w:tc>
      </w:tr>
      <w:tr>
        <w:trPr>
          <w:trHeight w:val="414"/>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 or,</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where proxies are allowed, by proxy at a general meeting, and includes a unanimous written resolution. In</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computing the majority when a poll is demanded regard shall be had to the number of votes to which each</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Member is entitled by the Articles.</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collectively, the Class A Shares and the Class B Shares.</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“Permitted Entity”</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with respect to Sponsor:</w:t>
            </w:r>
          </w:p>
        </w:tc>
      </w:tr>
      <w:tr>
        <w:trPr>
          <w:trHeight w:val="432"/>
        </w:trPr>
        <w:tc>
          <w:tcPr>
            <w:tcW w:w="3060" w:type="dxa"/>
            <w:vAlign w:val="bottom"/>
          </w:tcPr>
          <w:p>
            <w:pPr>
              <w:spacing w:after="0"/>
              <w:rPr>
                <w:sz w:val="24"/>
                <w:szCs w:val="24"/>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  any Person in respect of which Sponsor has, directly or indirectly:</w:t>
            </w:r>
          </w:p>
        </w:tc>
      </w:tr>
      <w:tr>
        <w:trPr>
          <w:trHeight w:val="432"/>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with respect to the voting of all the Class B Shares held or to be transferred to such Person;</w:t>
            </w:r>
          </w:p>
        </w:tc>
      </w:tr>
      <w:tr>
        <w:trPr>
          <w:trHeight w:val="414"/>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(ii)   the ability to direct or cause the direction of management and policies of such Person or any other</w:t>
            </w:r>
          </w:p>
        </w:tc>
      </w:tr>
      <w:tr>
        <w:trPr>
          <w:trHeight w:val="216"/>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Person having the authority referred to in the preceding clause (a)(i) (whether by contract, as</w:t>
            </w:r>
          </w:p>
        </w:tc>
      </w:tr>
      <w:tr>
        <w:trPr>
          <w:trHeight w:val="234"/>
        </w:trPr>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executor, trustee, trust protector or otherwise); or</w:t>
            </w:r>
          </w:p>
        </w:tc>
      </w:tr>
      <w:tr>
        <w:trPr>
          <w:trHeight w:val="414"/>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(iii)  the operational or practical control of such Person, including the right to appoint, designate, remove</w:t>
            </w:r>
          </w:p>
        </w:tc>
      </w:tr>
      <w:tr>
        <w:trPr>
          <w:trHeight w:val="234"/>
        </w:trPr>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replace the Person having the authority referred to in the preceding clauses (a)(i) or (ii) above;</w:t>
            </w:r>
          </w:p>
        </w:tc>
      </w:tr>
      <w:tr>
        <w:trPr>
          <w:trHeight w:val="414"/>
        </w:trPr>
        <w:tc>
          <w:tcPr>
            <w:tcW w:w="306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(b)</w:t>
            </w:r>
          </w:p>
        </w:tc>
        <w:tc>
          <w:tcPr>
            <w:tcW w:w="7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any trust the beneficiaries of which consist primarily of Sponsor, his Family Members, and/or any</w:t>
            </w:r>
          </w:p>
        </w:tc>
      </w:tr>
      <w:tr>
        <w:trPr>
          <w:trHeight w:val="234"/>
        </w:trPr>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Persons controlled directly or indirectly by such a trust;</w:t>
            </w:r>
          </w:p>
        </w:tc>
      </w:tr>
      <w:tr>
        <w:trPr>
          <w:trHeight w:val="432"/>
        </w:trPr>
        <w:tc>
          <w:tcPr>
            <w:tcW w:w="3060" w:type="dxa"/>
            <w:vAlign w:val="bottom"/>
          </w:tcPr>
          <w:p>
            <w:pPr>
              <w:spacing w:after="0"/>
              <w:rPr>
                <w:sz w:val="24"/>
                <w:szCs w:val="24"/>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  any Person Controlled by a trust described in the immediately preceding clause (b) above;</w:t>
            </w:r>
          </w:p>
        </w:tc>
      </w:tr>
      <w:tr>
        <w:trPr>
          <w:trHeight w:val="432"/>
        </w:trPr>
        <w:tc>
          <w:tcPr>
            <w:tcW w:w="3060" w:type="dxa"/>
            <w:vAlign w:val="bottom"/>
          </w:tcPr>
          <w:p>
            <w:pPr>
              <w:spacing w:after="0"/>
              <w:rPr>
                <w:sz w:val="24"/>
                <w:szCs w:val="24"/>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  any Person designated by the Sponsor in writing as a Permitted Entity; and</w:t>
            </w:r>
          </w:p>
        </w:tc>
      </w:tr>
      <w:tr>
        <w:trPr>
          <w:trHeight w:val="432"/>
        </w:trPr>
        <w:tc>
          <w:tcPr>
            <w:tcW w:w="3060" w:type="dxa"/>
            <w:vAlign w:val="bottom"/>
          </w:tcPr>
          <w:p>
            <w:pPr>
              <w:spacing w:after="0"/>
              <w:rPr>
                <w:sz w:val="24"/>
                <w:szCs w:val="24"/>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  for the avoidance of doubt, Energy Science Artist Holding Limited.</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“Permitted Transferee”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with respect to the Class B Ordinary Shareholders, any or all of the following:</w:t>
            </w:r>
          </w:p>
        </w:tc>
      </w:tr>
      <w:tr>
        <w:trPr>
          <w:trHeight w:val="432"/>
        </w:trPr>
        <w:tc>
          <w:tcPr>
            <w:tcW w:w="306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w:t>
            </w:r>
          </w:p>
        </w:tc>
        <w:tc>
          <w:tcPr>
            <w:tcW w:w="7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Sponsor;</w:t>
            </w:r>
          </w:p>
        </w:tc>
      </w:tr>
      <w:tr>
        <w:trPr>
          <w:trHeight w:val="432"/>
        </w:trPr>
        <w:tc>
          <w:tcPr>
            <w:tcW w:w="306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(b)</w:t>
            </w:r>
          </w:p>
        </w:tc>
        <w:tc>
          <w:tcPr>
            <w:tcW w:w="7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any Permitted Entities;</w:t>
            </w:r>
          </w:p>
        </w:tc>
      </w:tr>
      <w:tr>
        <w:trPr>
          <w:trHeight w:val="655"/>
        </w:trPr>
        <w:tc>
          <w:tcPr>
            <w:tcW w:w="3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333"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  any Family Members of Sponsor;</w:t>
            </w:r>
          </w:p>
        </w:tc>
      </w:tr>
      <w:tr>
        <w:trPr>
          <w:trHeight w:val="432"/>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  any other relative of Sponsor approved by the Board;</w:t>
            </w:r>
          </w:p>
        </w:tc>
      </w:tr>
      <w:tr>
        <w:trPr>
          <w:trHeight w:val="432"/>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  any transferee by operation of law, including in connection with divorce proceedings;</w:t>
            </w:r>
          </w:p>
        </w:tc>
      </w:tr>
      <w:tr>
        <w:trPr>
          <w:trHeight w:val="432"/>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  any charitable organization, foundation or similar entity;</w:t>
            </w:r>
          </w:p>
        </w:tc>
      </w:tr>
      <w:tr>
        <w:trPr>
          <w:trHeight w:val="414"/>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  in connection with a transfer as a result of, or in connection with the death or Incapacity of Sponsor, any</w:t>
            </w:r>
          </w:p>
        </w:tc>
      </w:tr>
      <w:tr>
        <w:trPr>
          <w:trHeight w:val="234"/>
        </w:trPr>
        <w:tc>
          <w:tcPr>
            <w:tcW w:w="2960" w:type="dxa"/>
            <w:vAlign w:val="bottom"/>
          </w:tcPr>
          <w:p>
            <w:pPr>
              <w:spacing w:after="0"/>
              <w:rPr>
                <w:sz w:val="20"/>
                <w:szCs w:val="20"/>
                <w:color w:val="auto"/>
              </w:rPr>
            </w:pPr>
          </w:p>
        </w:tc>
        <w:tc>
          <w:tcPr>
            <w:tcW w:w="82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Family Member of Sponsor or other designee, in each case, approved by the Directors; and</w:t>
            </w:r>
          </w:p>
        </w:tc>
      </w:tr>
      <w:tr>
        <w:trPr>
          <w:trHeight w:val="432"/>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  the Company,</w:t>
            </w:r>
          </w:p>
        </w:tc>
      </w:tr>
      <w:tr>
        <w:trPr>
          <w:trHeight w:val="414"/>
        </w:trPr>
        <w:tc>
          <w:tcPr>
            <w:tcW w:w="2960" w:type="dxa"/>
            <w:vAlign w:val="bottom"/>
          </w:tcPr>
          <w:p>
            <w:pPr>
              <w:spacing w:after="0"/>
              <w:rPr>
                <w:sz w:val="24"/>
                <w:szCs w:val="24"/>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provided that, in the case of any transfer of Class B Shares pursuant to clauses (b) through (f) above to a</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Person who at a later time ceases to qualify as a Permitted Transferee under the relevant clause, the</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 shall be able to refuse registration of any subsequent transfer of such Class B Shares except back</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the Sponsor or his Permitted Entities, and in the absence of such transfer back to the Sponsor or his</w:t>
            </w:r>
          </w:p>
        </w:tc>
      </w:tr>
      <w:tr>
        <w:trPr>
          <w:trHeight w:val="214"/>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Permitted Entities, the applicable Class B Shares shall automatically convert in accordance with Article 17.4</w:t>
            </w:r>
          </w:p>
        </w:tc>
      </w:tr>
      <w:tr>
        <w:trPr>
          <w:trHeight w:val="236"/>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tc>
      </w:tr>
      <w:tr>
        <w:trPr>
          <w:trHeight w:val="414"/>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any individual, corporation, partnership, joint venture, trust, unincorporated organization, limited</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liability company, estate, association, joint stock company, unincorporated organization, company or other</w:t>
            </w:r>
          </w:p>
        </w:tc>
      </w:t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business or legal entity or government authority.</w:t>
            </w:r>
          </w:p>
        </w:tc>
      </w:tr>
      <w:tr>
        <w:trPr>
          <w:trHeight w:val="414"/>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w:t>
            </w:r>
          </w:p>
        </w:tc>
      </w:t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otherwise stated) any branch or duplicate register of Members.</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U.S. Securities Act of 1933.</w:t>
            </w:r>
          </w:p>
        </w:tc>
      </w:tr>
      <w:tr>
        <w:trPr>
          <w:trHeight w:val="410"/>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238"/>
        </w:trPr>
        <w:tc>
          <w:tcPr>
            <w:tcW w:w="29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280" w:type="dxa"/>
            <w:vAlign w:val="bottom"/>
          </w:tcPr>
          <w:p>
            <w:pPr>
              <w:spacing w:after="0"/>
              <w:rPr>
                <w:sz w:val="20"/>
                <w:szCs w:val="20"/>
                <w:color w:val="auto"/>
              </w:rPr>
            </w:pP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share in the capital of the Company and includes a fraction of a share in the Company.</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Companies Act (Revised) of the Cayman Islands.</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655"/>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337" w:right="33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deed or other instrument (including to these Articles and the Memorandum) is a reference to that agreement or instrument as amended, restated, or novated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980" w:right="2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 “US$”, “USD”, or dollar(s) is a reference to the lawful currency of the United States of America;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means, except where the context requires otherwise, directly or indirectly through one or more intermediate Persons or through contractual or other arrangements, and “direct or indirect” has the correlative meaning;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221"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conversion of the Class B Shares set out in the Articles. No holder of Ordinary Shares shall have pre-emptive rights.</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Except as set forth otherwise in Article 17.3, the Directors may provide, out of the unissued shares, for a series of preference shares. Before any preference shares of any such series are issued, the Directors shall fix, by resolution or resolutions, the following provisions of the preference shares thereof, if applicable:</w:t>
      </w:r>
    </w:p>
    <w:p>
      <w:pPr>
        <w:spacing w:after="0" w:line="176" w:lineRule="exact"/>
        <w:rPr>
          <w:sz w:val="20"/>
          <w:szCs w:val="20"/>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preference shares to constitute such series and the subscription price thereof if different from the par value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left="364" w:hanging="364"/>
        <w:spacing w:after="0" w:line="282"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364" w:hanging="364"/>
        <w:spacing w:after="0" w:line="266"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preference shares;</w:t>
      </w:r>
    </w:p>
    <w:p>
      <w:pPr>
        <w:spacing w:after="0" w:line="175" w:lineRule="exact"/>
        <w:rPr>
          <w:rFonts w:ascii="Times New Roman" w:cs="Times New Roman" w:eastAsia="Times New Roman" w:hAnsi="Times New Roman"/>
          <w:sz w:val="18"/>
          <w:szCs w:val="18"/>
          <w:color w:val="auto"/>
        </w:rPr>
      </w:pPr>
    </w:p>
    <w:p>
      <w:pPr>
        <w:ind w:left="364" w:right="20" w:hanging="364"/>
        <w:spacing w:after="0" w:line="282"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ind w:left="364" w:right="20" w:hanging="364"/>
        <w:spacing w:after="0" w:line="282"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preference shares of such series upon, and the rights of the holders of such series in, a voluntary or involuntary liquidation, dissolution or winding up, or upon any distribution of the assets, of the Company;</w:t>
      </w:r>
    </w:p>
    <w:p>
      <w:pPr>
        <w:spacing w:after="0" w:line="161" w:lineRule="exact"/>
        <w:rPr>
          <w:rFonts w:ascii="Times New Roman" w:cs="Times New Roman" w:eastAsia="Times New Roman" w:hAnsi="Times New Roman"/>
          <w:sz w:val="18"/>
          <w:szCs w:val="18"/>
          <w:color w:val="auto"/>
        </w:rPr>
      </w:pPr>
    </w:p>
    <w:p>
      <w:pPr>
        <w:jc w:val="both"/>
        <w:ind w:left="364" w:hanging="364"/>
        <w:spacing w:after="0" w:line="266"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364" w:hanging="364"/>
        <w:spacing w:after="0" w:line="266"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364" w:hanging="364"/>
        <w:spacing w:after="0" w:line="266"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of shares or any other series of preference shares;</w:t>
      </w:r>
    </w:p>
    <w:p>
      <w:pPr>
        <w:spacing w:after="0" w:line="175" w:lineRule="exact"/>
        <w:rPr>
          <w:rFonts w:ascii="Times New Roman" w:cs="Times New Roman" w:eastAsia="Times New Roman" w:hAnsi="Times New Roman"/>
          <w:sz w:val="18"/>
          <w:szCs w:val="18"/>
          <w:color w:val="auto"/>
        </w:rPr>
      </w:pPr>
    </w:p>
    <w:p>
      <w:pPr>
        <w:ind w:left="364" w:hanging="364"/>
        <w:spacing w:after="0" w:line="282"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preference shares; and</w:t>
      </w:r>
    </w:p>
    <w:p>
      <w:pPr>
        <w:spacing w:after="0" w:line="161" w:lineRule="exact"/>
        <w:rPr>
          <w:rFonts w:ascii="Times New Roman" w:cs="Times New Roman" w:eastAsia="Times New Roman" w:hAnsi="Times New Roman"/>
          <w:sz w:val="18"/>
          <w:szCs w:val="18"/>
          <w:color w:val="auto"/>
        </w:rPr>
      </w:pPr>
    </w:p>
    <w:p>
      <w:pPr>
        <w:ind w:left="364" w:hanging="364"/>
        <w:spacing w:after="0" w:line="282"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58"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Without limiting the foregoing and subject to </w:t>
      </w:r>
      <w:r>
        <w:rPr>
          <w:rFonts w:ascii="Times New Roman" w:cs="Times New Roman" w:eastAsia="Times New Roman" w:hAnsi="Times New Roman"/>
          <w:sz w:val="18"/>
          <w:szCs w:val="18"/>
          <w:b w:val="1"/>
          <w:bCs w:val="1"/>
          <w:i w:val="1"/>
          <w:iCs w:val="1"/>
          <w:u w:val="single" w:color="auto"/>
          <w:color w:val="auto"/>
        </w:rPr>
        <w:t>Articles 17.3 and 23.1</w:t>
      </w:r>
      <w:r>
        <w:rPr>
          <w:rFonts w:ascii="Times New Roman" w:cs="Times New Roman" w:eastAsia="Times New Roman" w:hAnsi="Times New Roman"/>
          <w:sz w:val="18"/>
          <w:szCs w:val="18"/>
          <w:b w:val="1"/>
          <w:bCs w:val="1"/>
          <w:color w:val="auto"/>
        </w:rPr>
        <w:t xml:space="preserve">, the voting powers of any series of </w:t>
      </w:r>
      <w:r>
        <w:rPr>
          <w:rFonts w:ascii="Times New Roman" w:cs="Times New Roman" w:eastAsia="Times New Roman" w:hAnsi="Times New Roman"/>
          <w:sz w:val="18"/>
          <w:szCs w:val="18"/>
          <w:color w:val="auto"/>
        </w:rPr>
        <w:t>preference shares</w:t>
      </w:r>
      <w:r>
        <w:rPr>
          <w:rFonts w:ascii="Times New Roman" w:cs="Times New Roman" w:eastAsia="Times New Roman" w:hAnsi="Times New Roman"/>
          <w:sz w:val="18"/>
          <w:szCs w:val="18"/>
          <w:b w:val="1"/>
          <w:bCs w:val="1"/>
          <w:color w:val="auto"/>
        </w:rPr>
        <w:t xml:space="preserve"> may include the right, in the circumstances specified in the resolution or resolutions providing for the issuance of such </w:t>
      </w:r>
      <w:r>
        <w:rPr>
          <w:rFonts w:ascii="Times New Roman" w:cs="Times New Roman" w:eastAsia="Times New Roman" w:hAnsi="Times New Roman"/>
          <w:sz w:val="18"/>
          <w:szCs w:val="18"/>
          <w:color w:val="auto"/>
        </w:rPr>
        <w:t>preference shares</w:t>
      </w:r>
      <w:r>
        <w:rPr>
          <w:rFonts w:ascii="Times New Roman" w:cs="Times New Roman" w:eastAsia="Times New Roman" w:hAnsi="Times New Roman"/>
          <w:sz w:val="18"/>
          <w:szCs w:val="18"/>
          <w:b w:val="1"/>
          <w:bCs w:val="1"/>
          <w:color w:val="auto"/>
        </w:rPr>
        <w:t xml:space="preserve">, to elect one or more Directors who shall serve for such term and have such voting powers as shall be stated in the resolution or resolutions providing for the issuance of such </w:t>
      </w:r>
      <w:r>
        <w:rPr>
          <w:rFonts w:ascii="Times New Roman" w:cs="Times New Roman" w:eastAsia="Times New Roman" w:hAnsi="Times New Roman"/>
          <w:sz w:val="18"/>
          <w:szCs w:val="18"/>
          <w:color w:val="auto"/>
        </w:rPr>
        <w:t>preference shares</w:t>
      </w:r>
      <w:r>
        <w:rPr>
          <w:rFonts w:ascii="Times New Roman" w:cs="Times New Roman" w:eastAsia="Times New Roman" w:hAnsi="Times New Roman"/>
          <w:sz w:val="18"/>
          <w:szCs w:val="18"/>
          <w:b w:val="1"/>
          <w:bCs w:val="1"/>
          <w:color w:val="auto"/>
        </w:rPr>
        <w:t>. The term of office and voting powers of any Director elected in the manner provided in the immediately preceding sentence of this Article 3.3 may be greater than or less than those of any other Director.</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49" w:name="page50"/>
    <w:bookmarkEnd w:id="49"/>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221"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7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79"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share certificates shall bear legends required under the Applicable Laws, including the Securities Act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176"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183"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Subject to Articles 3.1 and 17.3,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94"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provisions of these Articles relating to general meetings shall apply to every such general meeting of the holders of one class or series of shares, except the following:</w:t>
      </w:r>
    </w:p>
    <w:p>
      <w:pPr>
        <w:spacing w:after="0" w:line="162" w:lineRule="exact"/>
        <w:rPr>
          <w:sz w:val="20"/>
          <w:szCs w:val="20"/>
          <w:color w:val="auto"/>
        </w:rPr>
      </w:pPr>
    </w:p>
    <w:p>
      <w:pPr>
        <w:ind w:left="1040" w:hanging="384"/>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general meetings of the holders of a call or series of shares may be called only by: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ind w:left="1960" w:hanging="656"/>
        <w:spacing w:after="0" w:line="282" w:lineRule="auto"/>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all of the Directors (unless otherwise specifically provided by the terms of issue of the shares of such class or series),</w:t>
      </w:r>
    </w:p>
    <w:p>
      <w:pPr>
        <w:spacing w:after="0" w:line="161"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 (a) above, nothing in this Article 10 shall be deemed to give any Member the right to call a class or series meeting; and</w:t>
      </w:r>
    </w:p>
    <w:p>
      <w:pPr>
        <w:spacing w:after="0" w:line="161"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at least one-third of the issues shares of the class or series and that any holder of shares of the class or series present in person or by proxy may demand a poll.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Shares issued with preferred or other rights.</w:t>
      </w:r>
    </w:p>
    <w:p>
      <w:pPr>
        <w:spacing w:after="0" w:line="172"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Person shall be recognised by the Company as holding any share upon any trust (other than any trust recognized as a Permitted Entity or Permitted Transferee). 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forfeited Share (other than a Class B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3"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Rights and Restrictions Attaching to Ordinary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Except as otherwise included in these Articles (including Articles 17.3 and 23.1), the rights attaching to the Class A Shares and Class B Shares shall have the same rights and powers,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(including as to dividends, distributions, and upon the occurrence of any liquidation or winding up of the Company), share ratably and be identical in all respects as to all matters, unless different treatment of the shares of each such class is approved by the affirmative vote of the holders of the Class A Shares and the Class B Shares, each voting exclusively and as a separate class.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Holders of Ordinary Shares have the right to receive notice of, attend, speak and vote at general meetings of the Company. Except as set forth in these Articles (including Articles 17.3, 17.4 and 23.1), holders of Class A Shares and Class B Shares shall at all times vote together as one class on all matters submitted to a vote for Members’ consent. On all matters subject to a vote of the Members, Ordinary Shares shall be entitled to the voting rights as set forth in Article 23.</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In addition to any rights provided by applicable law or otherwise set forth in these Articles, the Company shall not, without the approval by vote or written consent of the holders of a majority of the voting power of the Class B Shares, voting exclusively and as a separate class, directly or indirectly, or whether by amendment or through merger, recapitalization, consolidation or otherwise:</w:t>
      </w:r>
    </w:p>
    <w:p>
      <w:pPr>
        <w:spacing w:after="0" w:line="176"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authorized Class B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Class B Shares or securities convertible into or exchangeable for Class B Shares, other than to Sponsor or his Affiliates;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issue, or reclassify into, any preference shares or any shares in the capital of the Company that carry more than one (1) vote per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any Class B Shares into any other class of shares or consolidate or combine any Class B Shares without proportionately increasing the number of votes per Class B Share;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waive, adopt any provision inconsistent with or otherwise vary or alter any provision of the Memorandum or these Articles relating to the voting, conversion or other rights, powers, preferences, privileges or restrictions of the Class B Shares.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Optional and Automatic Conversion of Class B Shares:</w:t>
      </w:r>
    </w:p>
    <w:p>
      <w:pPr>
        <w:spacing w:after="0" w:line="225" w:lineRule="exact"/>
        <w:rPr>
          <w:sz w:val="20"/>
          <w:szCs w:val="20"/>
          <w:color w:val="auto"/>
        </w:rPr>
      </w:pPr>
    </w:p>
    <w:p>
      <w:pPr>
        <w:jc w:val="both"/>
        <w:ind w:left="1040" w:hanging="384"/>
        <w:spacing w:after="0" w:line="26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is convertible into one (1) Class A Share (as adjusted for share splits, share combinations and similar transactions occurring after the Merger Effective Date) at any time at the option of the holder thereof. In no event shall any Class A Share be convertible into any Class B Shares;</w:t>
      </w:r>
    </w:p>
    <w:p>
      <w:pPr>
        <w:spacing w:after="0" w:line="17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will automatically convert into one (1) Class A Share (as adjusted for share splits, share combinations and similar transactions occurring after the Merger Effective Date) on the first anniversary of Sponsor death or Incapacity;</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Class B Shares shall be issued by the Company after conversion of all Class B Shares into Class A Shares;</w:t>
      </w:r>
    </w:p>
    <w:p>
      <w:pPr>
        <w:spacing w:after="0" w:line="225" w:lineRule="exact"/>
        <w:rPr>
          <w:rFonts w:ascii="Times New Roman" w:cs="Times New Roman" w:eastAsia="Times New Roman" w:hAnsi="Times New Roman"/>
          <w:sz w:val="18"/>
          <w:szCs w:val="18"/>
          <w:color w:val="auto"/>
        </w:rPr>
      </w:pPr>
    </w:p>
    <w:p>
      <w:pPr>
        <w:jc w:val="both"/>
        <w:ind w:left="1040" w:hanging="384"/>
        <w:spacing w:after="0" w:line="253"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pledge, transfer, assignment or other disposition of Class B Shares by a holder thereof to any Person which is not a Permitted Transferee of such holder, each such Class B Share shall be automatically and immediately converted into one (1) Class A Share (as adjusted for share splits, share combinations and similar transactions occurring after the Acquisition Effective Time); provided that, notwithstanding anything to the contrary in these Articles, any pledge of Class B Shares by a holder thereof that creates a security interest in such Class B Shares pursuant to a bona fide loan or indebtedness transaction shall be permitted (and not result in any such conversion) for so long as Sponsor or his Affiliates continue to control, directly or indirectly, the exercise of the voting rights of such pledged Class B Shares; provided, further, however, that a foreclosure on such Class B Shares or other similar action by the pledgee will result in automatic and immediate conversion of such Class B Shares into Class A Shares unless the transferee in such foreclosure or similar action qualifies as a Permitted Transferee at such time. For the avoidance of doubt, any sale, pledge, transfer, assignment or disposition of Class B Shares to a Permitted Transferee does not result in automatic conversion into Class A Shares.</w:t>
      </w:r>
    </w:p>
    <w:p>
      <w:pPr>
        <w:spacing w:after="0" w:line="194"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Company may, from time to time, establish such policies and procedures relating to the conversion of the Class B Shares to Class A Shares, including the issuance of share certificates with respect thereto, as it may deem necessary or advisable.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and if at any time the number of authorized but unissued Class A Shares shall not be sufficient to effect the conversion of all then-outstanding Class B Shares, the Company will take such corporate action as may, in the opinion of its counsel, be necessary to increase its authorized but unissued Class A Shares to such numbers of shares as shall be sufficient for such purpose.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Company may by Ordinary Resolution, subject to the rights of the Class B Shares, including under Article 17.3:</w:t>
      </w:r>
    </w:p>
    <w:p>
      <w:pPr>
        <w:spacing w:after="0" w:line="225" w:lineRule="exact"/>
        <w:rPr>
          <w:sz w:val="20"/>
          <w:szCs w:val="20"/>
          <w:color w:val="auto"/>
        </w:rPr>
      </w:pPr>
    </w:p>
    <w:p>
      <w:pPr>
        <w:ind w:left="980" w:right="2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provided, that in the subdivision the amount paid and the amount, if any, unpaid on each reduced share shall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Subject to the rights of the Class B Shares, including under Article 17.3(e), the provisions of the Statute, the provisions of the Articles as regards the matters to be dealt with by Ordinary Resolution, the Company may by Special Resolution:</w:t>
      </w:r>
    </w:p>
    <w:p>
      <w:pPr>
        <w:spacing w:after="0" w:line="162"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221"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Company may (but shall not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Directors, the chief executive officer or the Chairman may call general meetings, and, for the avoidance of doubt, Members shall not have the ability to call general meetings.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3"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Members (or their proxies) having the right to attend and vote at the meeting, together holding shares entitling the holders thereof to not less than two-thirds of the votes entitled to be cast at such extraordinary meeting.</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accidental omission to give notice of a general meeting to, or the non-receipt of notice of a general meeting by, any Person entitled to receive such notice shall not invalidate the proceedings of that general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No business shall be transacted at any general meeting unless a quorum of Members is present. A general meeting is duly constituted if, at the commencement of the meeting, there are present in person, through their authorised representative or by proxy two Members entitled to vote on resolutions of Members to be considered at the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If provided by the Company,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The Directors may, at the time prior to the time appointed for the meeting to commence, appoint any Person to act as a chairman of a general meeting or, if the Directors do not make any such appointment, the chairman, if any, of the board of Directors (as elected by a majority of the Directors in accordance with Article 31.7) shall preside as chairman at such general meeting. If there is no chairman present, or if the chairman is unwilling to act, the Directors present shall elect one of their number to be chairman of the meeting. The voting rights of the Chairman, if a Director, as to the matters to be decided by the Board of Directors shall be the same as other Directors.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(provided, that no special meeting called by the holders of Class B Shares may be adjourned unless a quorum does not exist), but no business shall be transacted at any adjourned meeting other than the business left unfinished at the meeting from which the adjournment took place.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When a general meeting is adjourned for thirty days or more, notice of the adjourned meeting shall be given as in the case of an original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A poll shall be taken as the chairman directs, and the result of the poll shall be deemed to be the resolution of the general meeting at which the poll was demanded.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22.10</w:t>
        <w:tab/>
        <w:t>A poll demanded on the election of a chairman or on a question of adjournment shall be taken forthwith (provided, that no special meeting called by a holder of Class B Shares may be adjourned unless a quorum does not exist).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22.11</w:t>
      </w:r>
      <w:r>
        <w:rPr>
          <w:sz w:val="20"/>
          <w:szCs w:val="20"/>
          <w:color w:val="auto"/>
        </w:rPr>
        <w:tab/>
      </w:r>
      <w:r>
        <w:rPr>
          <w:rFonts w:ascii="Times New Roman" w:cs="Times New Roman" w:eastAsia="Times New Roman" w:hAnsi="Times New Roman"/>
          <w:sz w:val="17"/>
          <w:szCs w:val="17"/>
          <w:color w:val="auto"/>
        </w:rPr>
        <w:t>In the case of an equality of votes the chairman shall be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Subject to any rights or restrictions attached to any Shares, including in Articles 17.3 and 17.4, each Class A Share shall be entitled to one (1) vote on all matters subject to a vote of Members, , and each Class B Share shall be entitled to ten (10) votes on all matters subject to a vote of Members.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6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7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Treasury Shares and other shares in the Company that are beneficially owned by the Company shall not be voted, directly or indirectly, at any meeting and shall not be counted in determining the total number of outstanding Shares at any given time.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There shall be a board of Directors consisting of not less than one Person provided however that the Company may by Ordinary Resolution increase or reduce the limits in the number of Directors.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Subject to the provisions of the Statute, the Memorandum and the Articles and to any directions given by Ordinary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 or may remove any Director.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7"/>
          <w:szCs w:val="17"/>
          <w:color w:val="auto"/>
        </w:rPr>
        <w:t>The Company may by Ordinary Resolution appoint any Person to be a Director or may by Ordinary Resolution remove any Director.</w:t>
      </w:r>
    </w:p>
    <w:p>
      <w:pPr>
        <w:spacing w:after="0" w:line="221"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these Articles, the office of a Director shall be vacated if:</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licensed medical practitioner who has evaluated that Director gives a written opinion to the Company stating he or she has become physically or mentally incapable of acting as a Director (with reasonable accommodations) and may remain so for more than three (3) months;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removed from office pursuant to any other provision of these Articles.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The quorum for the transaction of the business of the Directors may be fixed by the Directors, and unless so fixed shall be a majority of the Directors then in office.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33.5</w:t>
      </w:r>
      <w:r>
        <w:rPr>
          <w:sz w:val="20"/>
          <w:szCs w:val="20"/>
          <w:color w:val="auto"/>
        </w:rPr>
        <w:tab/>
      </w:r>
      <w:r>
        <w:rPr>
          <w:rFonts w:ascii="Times New Roman" w:cs="Times New Roman" w:eastAsia="Times New Roman" w:hAnsi="Times New Roman"/>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76"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8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8"/>
          <w:szCs w:val="18"/>
          <w:color w:val="auto"/>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19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Times New Roman" w:cs="Times New Roman" w:eastAsia="Times New Roman" w:hAnsi="Times New Roman"/>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remuneration to be paid to the Directors, if any, shall be such remuneration as the Directors shall determine. The Directors shall also be entitled to be paid all travelling, hotel and other expenses properly and reasonably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Notwithstanding anything contained in these Articles, no Dividend shall be made on any Class A Shares unless a Dividend in equal proportion is made on the Class B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8"/>
          <w:szCs w:val="18"/>
          <w:color w:val="auto"/>
        </w:rPr>
        <w:t>The Directors may deduct from any Dividend or other distribution payable to any Member all sums of money (if any) then payable by him to the Company on account of calls or otherwise.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39.5</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39.7</w:t>
      </w:r>
      <w:r>
        <w:rPr>
          <w:sz w:val="20"/>
          <w:szCs w:val="20"/>
          <w:color w:val="auto"/>
        </w:rPr>
        <w:tab/>
      </w:r>
      <w:r>
        <w:rPr>
          <w:rFonts w:ascii="Times New Roman" w:cs="Times New Roman" w:eastAsia="Times New Roman" w:hAnsi="Times New Roman"/>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39.8</w:t>
      </w:r>
      <w:r>
        <w:rPr>
          <w:sz w:val="20"/>
          <w:szCs w:val="20"/>
          <w:color w:val="auto"/>
        </w:rPr>
        <w:tab/>
      </w:r>
      <w:r>
        <w:rPr>
          <w:rFonts w:ascii="Times New Roman" w:cs="Times New Roman" w:eastAsia="Times New Roman" w:hAnsi="Times New Roman"/>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9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Books of Account</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color w:val="auto"/>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225" w:lineRule="exact"/>
        <w:rPr>
          <w:sz w:val="20"/>
          <w:szCs w:val="20"/>
          <w:color w:val="auto"/>
        </w:rPr>
      </w:pPr>
    </w:p>
    <w:p>
      <w:pPr>
        <w:jc w:val="both"/>
        <w:ind w:left="980" w:hanging="324"/>
        <w:spacing w:after="0" w:line="266"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62" w:lineRule="exact"/>
        <w:rPr>
          <w:sz w:val="20"/>
          <w:szCs w:val="20"/>
          <w:color w:val="auto"/>
        </w:rPr>
      </w:pPr>
    </w:p>
    <w:p>
      <w:pPr>
        <w:jc w:val="both"/>
        <w:ind w:left="980" w:hanging="324"/>
        <w:spacing w:after="0" w:line="266"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Every Director and Officer (which for the avoidance of doubt, shall not include auditors of the Company), together with every former Director 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19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72"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Opportunities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color w:val="auto"/>
        </w:rPr>
        <w:t>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49.3</w:t>
      </w:r>
      <w:r>
        <w:rPr>
          <w:sz w:val="20"/>
          <w:szCs w:val="20"/>
          <w:color w:val="auto"/>
        </w:rPr>
        <w:tab/>
      </w:r>
      <w:r>
        <w:rPr>
          <w:rFonts w:ascii="Times New Roman" w:cs="Times New Roman" w:eastAsia="Times New Roman" w:hAnsi="Times New Roman"/>
          <w:sz w:val="18"/>
          <w:szCs w:val="18"/>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Results of 2026 Extraordinary General Meeting of SAIHEAT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24, 2026, SAIHEAT Limited (the “Company”) held its extraordinary general meeting of shareholders virtually at http://www.virtualshareholdermeeting.com/SAIH2026SM, (the “EGM”). The notice of the EGM (the “Notice of EGM”) was duly given on April 6,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(the “Board”) of the Company is pleased to announce that all the shareholder proposals submitted for shareholder approval (the “Proposals”) as set forth in the Notice of EGM have been duly adopted at the EGM.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close of business on March 26, 2026, the record date for the determination of shareholders entitled to vote at the EGM, there were 1,190,317 Class A ordinary shares of a par value of US$0.0015 each (the “Class A Ordinary Shares”) issued and outstanding, each entitled to one (1) vote on all matters subject to a vote of shareholders, and 642,043 Class B ordinary shares of a par value of US$0.0015 each (the “Class B Ordinary Shares”) issued and outstanding, each entitled to ten (10) votes on all matters subject to a vote of shareholders, consisting of all the voting securities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Present, in person or by proxy, at the EGM were holders of an aggregate of 1,195,362 shares of the Class A Ordinary Shares and Class B Ordinary Shares, voting as a single class, and, in aggregate, 6,973,749 votes, constituting a quorum.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results in respect of the Proposals at the EGM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as a special resolution that:</w:t>
      </w:r>
    </w:p>
    <w:p>
      <w:pPr>
        <w:spacing w:after="0" w:line="229" w:lineRule="exact"/>
        <w:rPr>
          <w:sz w:val="20"/>
          <w:szCs w:val="20"/>
          <w:color w:val="auto"/>
        </w:rPr>
      </w:pPr>
    </w:p>
    <w:p>
      <w:pPr>
        <w:jc w:val="both"/>
        <w:ind w:left="660" w:hanging="328"/>
        <w:spacing w:after="0" w:line="253"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noting that: (A) at the extraordinary general meeting of the Company held on 26 February 2025, a reverse stock split of the Company’s ordinary shares at a ratio of 1-for-15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was approved and the fourth amended and restated memorandum and articles of association of the Company (the “</w:t>
      </w:r>
      <w:r>
        <w:rPr>
          <w:rFonts w:ascii="Times New Roman" w:cs="Times New Roman" w:eastAsia="Times New Roman" w:hAnsi="Times New Roman"/>
          <w:sz w:val="18"/>
          <w:szCs w:val="18"/>
          <w:b w:val="1"/>
          <w:bCs w:val="1"/>
          <w:color w:val="auto"/>
        </w:rPr>
        <w:t>Existing M&amp;A</w:t>
      </w:r>
      <w:r>
        <w:rPr>
          <w:rFonts w:ascii="Times New Roman" w:cs="Times New Roman" w:eastAsia="Times New Roman" w:hAnsi="Times New Roman"/>
          <w:sz w:val="18"/>
          <w:szCs w:val="18"/>
          <w:color w:val="auto"/>
        </w:rPr>
        <w:t>”) were adopted to reflect the Reverse Stock Split; (B) the Reverse Stock Split was intended to consolidate all of the authorised shares in the share capital of the Company, including the class A ordinary shares, the convertible class B ordinary shares and the preference shares; and (C) due to typographical errors (the “</w:t>
      </w:r>
      <w:r>
        <w:rPr>
          <w:rFonts w:ascii="Times New Roman" w:cs="Times New Roman" w:eastAsia="Times New Roman" w:hAnsi="Times New Roman"/>
          <w:sz w:val="18"/>
          <w:szCs w:val="18"/>
          <w:b w:val="1"/>
          <w:bCs w:val="1"/>
          <w:color w:val="auto"/>
        </w:rPr>
        <w:t>Typographical Errors</w:t>
      </w:r>
      <w:r>
        <w:rPr>
          <w:rFonts w:ascii="Times New Roman" w:cs="Times New Roman" w:eastAsia="Times New Roman" w:hAnsi="Times New Roman"/>
          <w:sz w:val="18"/>
          <w:szCs w:val="18"/>
          <w:color w:val="auto"/>
        </w:rPr>
        <w:t>”), the resolutions in relation to the Reverse Stock Split were inadvertently misstated, and the Existing M&amp;A were inadvertently misstated, such that, among others, (1) the number of preference shares in the share capital of the Company was incorrectly stated as zero, (2) the par value of the preference shares was not adjusted to reflect the Reverse Stock Split, (3) the date of adoption of the Existing M&amp;A was incorrectly stated as 14 February 2025 in the Existing M&amp;A, instead of 26 February 2025; and (4) following the Reverse Stock Split, the authorised share capital of the Company was misstated as US$35,000 divided into 22,024,624 class A ordinary shares of a par value of US$0.0015 each, 642,042 convertible class B ordinary shares of a par value of US$0.0015, and 0 preference shares of a par value of US$0.0001;</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Typographical Errors in the resolutions passed at the extraordinary general meeting of the Company held on 26 February 2025 and in the Existing M&amp;A be and are hereby corrected, and it is hereby confirmed that: (i) the Reverse Stock Split was intended to, and shall be deemed to have, consolidated all of the authorised shares in the share capital of the Company (including the class A ordinary shares, the convertible class B ordinary shares and the preference shares) at a ratio of 1-for-15, with a corresponding adjustment of the par value of each such share consolidated from US$0.0001 to US$0.0015; (ii) following the Reverse Stock Split, the authorised share capital of the Company is US$35,000 divided into 22,024,624 class A ordinary shares of a par value of US$0.0015 each, 642,043 convertible class B ordinary shares of a par value of US$0.0015 each, and 666,666 preference shares of a par value of US$0.0015 each (the “</w:t>
      </w:r>
      <w:r>
        <w:rPr>
          <w:rFonts w:ascii="Times New Roman" w:cs="Times New Roman" w:eastAsia="Times New Roman" w:hAnsi="Times New Roman"/>
          <w:sz w:val="18"/>
          <w:szCs w:val="18"/>
          <w:b w:val="1"/>
          <w:bCs w:val="1"/>
          <w:color w:val="auto"/>
        </w:rPr>
        <w:t>Correct Share Capital</w:t>
      </w:r>
      <w:r>
        <w:rPr>
          <w:rFonts w:ascii="Times New Roman" w:cs="Times New Roman" w:eastAsia="Times New Roman" w:hAnsi="Times New Roman"/>
          <w:sz w:val="18"/>
          <w:szCs w:val="18"/>
          <w:color w:val="auto"/>
        </w:rPr>
        <w:t>”); and (iii) the date of adoption of the Existing M&amp;A is 26 February 2025;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ind w:left="660" w:right="20" w:hanging="328"/>
        <w:spacing w:after="0" w:line="28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 authorised to do all other acts and things as the Board considers necessary or desirable in connection with the correction of the Typographical Errors and the Correct Share Capital.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AGAINST</w:t>
            </w:r>
          </w:p>
        </w:tc>
        <w:tc>
          <w:tcPr>
            <w:tcW w:w="35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6,967,919</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5,812</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as a special resolution that:</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corrections be and are hereby made to the Existing M&amp;A to reflect the Correct Share Capital, correct the Typographical Errors and correct the date of adoption to 26 February 2025, in the form set out in the corrected version of the Existing M&amp;A attached hereto as Appendix 1 (the “</w:t>
      </w:r>
      <w:r>
        <w:rPr>
          <w:rFonts w:ascii="Times New Roman" w:cs="Times New Roman" w:eastAsia="Times New Roman" w:hAnsi="Times New Roman"/>
          <w:sz w:val="18"/>
          <w:szCs w:val="18"/>
          <w:b w:val="1"/>
          <w:bCs w:val="1"/>
          <w:color w:val="auto"/>
        </w:rPr>
        <w:t>Corrected M&amp;A</w:t>
      </w:r>
      <w:r>
        <w:rPr>
          <w:rFonts w:ascii="Times New Roman" w:cs="Times New Roman" w:eastAsia="Times New Roman" w:hAnsi="Times New Roman"/>
          <w:sz w:val="18"/>
          <w:szCs w:val="18"/>
          <w:color w:val="auto"/>
        </w:rPr>
        <w:t>”), and the Existing M&amp;A as so corrected shall continue in full force and effect;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do all other acts and things as the Board considers necessary or desirable in connection with the foregoing resolutions, including without limitation, attending to the necessary filing with the Registrar of Companies in the Cayman Islands;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make such amendments, modifications or adjustments to the Corrected M&amp;A as the Board may in its sole discretion consider necessary or desirable in order to satisfy any requirements of, or address any comments raised by, the Registrar of Companies in the Cayman Islands in connection with the filing of the Corrected M&amp;A, including without limitation any amendments, modifications or adjustments to the authorised share capital provisions set out therein, provided that any such amendments, modifications or adjustments shall be consistent with the intent of the foregoing resolutions.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AGAINST</w:t>
            </w:r>
          </w:p>
        </w:tc>
        <w:tc>
          <w:tcPr>
            <w:tcW w:w="35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ABSTAIN</w:t>
            </w:r>
          </w:p>
        </w:tc>
      </w:tr>
      <w:tr>
        <w:trPr>
          <w:trHeight w:val="229"/>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6,421,454</w:t>
            </w:r>
          </w:p>
        </w:tc>
        <w:tc>
          <w:tcPr>
            <w:tcW w:w="240" w:type="dxa"/>
            <w:vAlign w:val="bottom"/>
            <w:tcBorders>
              <w:top w:val="single" w:sz="8" w:color="CCEEFF"/>
            </w:tcBorders>
            <w:shd w:val="clear" w:color="auto" w:fill="CCEEFF"/>
          </w:tcPr>
          <w:p>
            <w:pPr>
              <w:spacing w:after="0"/>
              <w:rPr>
                <w:sz w:val="19"/>
                <w:szCs w:val="19"/>
                <w:color w:val="auto"/>
              </w:rPr>
            </w:pPr>
          </w:p>
        </w:tc>
        <w:tc>
          <w:tcPr>
            <w:tcW w:w="3580" w:type="dxa"/>
            <w:vAlign w:val="bottom"/>
            <w:tcBorders>
              <w:top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1,068</w:t>
            </w:r>
          </w:p>
        </w:tc>
        <w:tc>
          <w:tcPr>
            <w:tcW w:w="22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r>
      <w:tr>
        <w:trPr>
          <w:trHeight w:val="655"/>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as a special resolution that: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Corrected M&amp;A be amended and restated by their deletion in their entirety and the substitution in their place with the fifth amended and restated memorandum and articles of association of the Company in the form attached hereto as Appendix 2 (the “</w:t>
      </w:r>
      <w:r>
        <w:rPr>
          <w:rFonts w:ascii="Times New Roman" w:cs="Times New Roman" w:eastAsia="Times New Roman" w:hAnsi="Times New Roman"/>
          <w:sz w:val="18"/>
          <w:szCs w:val="18"/>
          <w:b w:val="1"/>
          <w:bCs w:val="1"/>
          <w:color w:val="auto"/>
        </w:rPr>
        <w:t>Amended M&amp;A</w:t>
      </w:r>
      <w:r>
        <w:rPr>
          <w:rFonts w:ascii="Times New Roman" w:cs="Times New Roman" w:eastAsia="Times New Roman" w:hAnsi="Times New Roman"/>
          <w:sz w:val="18"/>
          <w:szCs w:val="18"/>
          <w:color w:val="auto"/>
        </w:rPr>
        <w:t>”), with immediate effect;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do all other acts and things as the Board considers necessary or desirable in connection with the foregoing resolutions, including without limitation, attending to the necessary filing with the Registrar of Companies in the Cayman Islands;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make such amendments, modifications or adjustments to the Amended M&amp;A as the Board may in its sole discretion consider necessary or desirable in order to satisfy any requirements of, or address any comments raised by, the Registrar of Companies in the Cayman Islands in connection with the filing of the Amended M&amp;A, including without limitation any amendments, modifications or adjustments to the authorised share capital provisions set out therein, provided that any such amendments, modifications or adjustments shall be consistent with the intent of the foregoing resolutions.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AGAINST</w:t>
            </w:r>
          </w:p>
        </w:tc>
        <w:tc>
          <w:tcPr>
            <w:tcW w:w="35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ABSTAIN</w:t>
            </w:r>
          </w:p>
        </w:tc>
      </w:tr>
      <w:tr>
        <w:trPr>
          <w:trHeight w:val="229"/>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6,421,454</w:t>
            </w:r>
          </w:p>
        </w:tc>
        <w:tc>
          <w:tcPr>
            <w:tcW w:w="240" w:type="dxa"/>
            <w:vAlign w:val="bottom"/>
            <w:tcBorders>
              <w:top w:val="single" w:sz="8" w:color="CCEEFF"/>
            </w:tcBorders>
            <w:shd w:val="clear" w:color="auto" w:fill="CCEEFF"/>
          </w:tcPr>
          <w:p>
            <w:pPr>
              <w:spacing w:after="0"/>
              <w:rPr>
                <w:sz w:val="19"/>
                <w:szCs w:val="19"/>
                <w:color w:val="auto"/>
              </w:rPr>
            </w:pPr>
          </w:p>
        </w:tc>
        <w:tc>
          <w:tcPr>
            <w:tcW w:w="3580" w:type="dxa"/>
            <w:vAlign w:val="bottom"/>
            <w:tcBorders>
              <w:top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1,068</w:t>
            </w:r>
          </w:p>
        </w:tc>
        <w:tc>
          <w:tcPr>
            <w:tcW w:w="22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r>
      <w:tr>
        <w:trPr>
          <w:trHeight w:val="655"/>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bullet"/>
      <w:start w:val="1"/>
    </w:lvl>
  </w:abstractNum>
  <w:abstractNum w:abstractNumId="1">
    <w:nsid w:val="580BD78F"/>
    <w:multiLevelType w:val="hybridMultilevel"/>
    <w:lvl w:ilvl="0">
      <w:lvlJc w:val="left"/>
      <w:lvlText w:val="2"/>
      <w:numFmt w:val="bullet"/>
      <w:start w:val="1"/>
    </w:lvl>
  </w:abstractNum>
  <w:abstractNum w:abstractNumId="2">
    <w:nsid w:val="153EA438"/>
    <w:multiLevelType w:val="hybridMultilevel"/>
    <w:lvl w:ilvl="0">
      <w:lvlJc w:val="left"/>
      <w:lvlText w:val="3"/>
      <w:numFmt w:val="bullet"/>
      <w:start w:val="1"/>
    </w:lvl>
  </w:abstractNum>
  <w:abstractNum w:abstractNumId="3">
    <w:nsid w:val="3855585C"/>
    <w:multiLevelType w:val="hybridMultilevel"/>
    <w:lvl w:ilvl="0">
      <w:lvlJc w:val="left"/>
      <w:lvlText w:val="4"/>
      <w:numFmt w:val="bullet"/>
      <w:start w:val="1"/>
    </w:lvl>
  </w:abstractNum>
  <w:abstractNum w:abstractNumId="4">
    <w:nsid w:val="70A64E2A"/>
    <w:multiLevelType w:val="hybridMultilevel"/>
    <w:lvl w:ilvl="0">
      <w:lvlJc w:val="left"/>
      <w:lvlText w:val="5"/>
      <w:numFmt w:val="bullet"/>
      <w:start w:val="1"/>
    </w:lvl>
  </w:abstractNum>
  <w:abstractNum w:abstractNumId="5">
    <w:nsid w:val="6A2342EC"/>
    <w:multiLevelType w:val="hybridMultilevel"/>
    <w:lvl w:ilvl="0">
      <w:lvlJc w:val="left"/>
      <w:lvlText w:val="6"/>
      <w:numFmt w:val="bullet"/>
      <w:start w:val="1"/>
    </w:lvl>
  </w:abstractNum>
  <w:abstractNum w:abstractNumId="6">
    <w:nsid w:val="2A487CB0"/>
    <w:multiLevelType w:val="hybridMultilevel"/>
    <w:lvl w:ilvl="0">
      <w:lvlJc w:val="left"/>
      <w:lvlText w:val="7"/>
      <w:numFmt w:val="bullet"/>
      <w:start w:val="1"/>
    </w:lvl>
  </w:abstractNum>
  <w:abstractNum w:abstractNumId="7">
    <w:nsid w:val="1D4ED43B"/>
    <w:multiLevelType w:val="hybridMultilevel"/>
    <w:lvl w:ilvl="0">
      <w:lvlJc w:val="left"/>
      <w:lvlText w:val="8"/>
      <w:numFmt w:val="bullet"/>
      <w:start w:val="1"/>
    </w:lvl>
  </w:abstractNum>
  <w:abstractNum w:abstractNumId="8">
    <w:nsid w:val="725A06FB"/>
    <w:multiLevelType w:val="hybridMultilevel"/>
    <w:lvl w:ilvl="0">
      <w:lvlJc w:val="left"/>
      <w:lvlText w:val="1"/>
      <w:numFmt w:val="bullet"/>
      <w:start w:val="1"/>
    </w:lvl>
  </w:abstractNum>
  <w:abstractNum w:abstractNumId="9">
    <w:nsid w:val="2CD89A32"/>
    <w:multiLevelType w:val="hybridMultilevel"/>
    <w:lvl w:ilvl="0">
      <w:lvlJc w:val="left"/>
      <w:lvlText w:val="(%1)"/>
      <w:numFmt w:val="lowerLetter"/>
      <w:start w:val="1"/>
    </w:lvl>
  </w:abstractNum>
  <w:abstractNum w:abstractNumId="10">
    <w:nsid w:val="57E4CCAF"/>
    <w:multiLevelType w:val="hybridMultilevel"/>
    <w:lvl w:ilvl="0">
      <w:lvlJc w:val="left"/>
      <w:lvlText w:val="(%1)"/>
      <w:numFmt w:val="lowerLetter"/>
      <w:start w:val="12"/>
    </w:lvl>
  </w:abstractNum>
  <w:abstractNum w:abstractNumId="11">
    <w:nsid w:val="7A6D8D3C"/>
    <w:multiLevelType w:val="hybridMultilevel"/>
    <w:lvl w:ilvl="0">
      <w:lvlJc w:val="left"/>
      <w:lvlText w:val="2"/>
      <w:numFmt w:val="bullet"/>
      <w:start w:val="1"/>
    </w:lvl>
  </w:abstractNum>
  <w:abstractNum w:abstractNumId="12">
    <w:nsid w:val="4B588F54"/>
    <w:multiLevelType w:val="hybridMultilevel"/>
    <w:lvl w:ilvl="0">
      <w:lvlJc w:val="left"/>
      <w:lvlText w:val="3"/>
      <w:numFmt w:val="bullet"/>
      <w:start w:val="1"/>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1)"/>
      <w:numFmt w:val="lowerLetter"/>
      <w:start w:val="2"/>
    </w:lvl>
  </w:abstractNum>
  <w:abstractNum w:abstractNumId="15">
    <w:nsid w:val="38437FDB"/>
    <w:multiLevelType w:val="hybridMultilevel"/>
    <w:lvl w:ilvl="0">
      <w:lvlJc w:val="left"/>
      <w:lvlText w:val="4"/>
      <w:numFmt w:val="bullet"/>
      <w:start w:val="1"/>
    </w:lvl>
  </w:abstractNum>
  <w:abstractNum w:abstractNumId="16">
    <w:nsid w:val="7644A45C"/>
    <w:multiLevelType w:val="hybridMultilevel"/>
    <w:lvl w:ilvl="0">
      <w:lvlJc w:val="left"/>
      <w:lvlText w:val="5"/>
      <w:numFmt w:val="bullet"/>
      <w:start w:val="1"/>
    </w:lvl>
  </w:abstractNum>
  <w:abstractNum w:abstractNumId="17">
    <w:nsid w:val="32FFF902"/>
    <w:multiLevelType w:val="hybridMultilevel"/>
    <w:lvl w:ilvl="0">
      <w:lvlJc w:val="left"/>
      <w:lvlText w:val="6"/>
      <w:numFmt w:val="bullet"/>
      <w:start w:val="1"/>
    </w:lvl>
  </w:abstractNum>
  <w:abstractNum w:abstractNumId="18">
    <w:nsid w:val="684A481A"/>
    <w:multiLevelType w:val="hybridMultilevel"/>
    <w:lvl w:ilvl="0">
      <w:lvlJc w:val="left"/>
      <w:lvlText w:val="7"/>
      <w:numFmt w:val="bullet"/>
      <w:start w:val="1"/>
    </w:lvl>
  </w:abstractNum>
  <w:abstractNum w:abstractNumId="19">
    <w:nsid w:val="579478FE"/>
    <w:multiLevelType w:val="hybridMultilevel"/>
    <w:lvl w:ilvl="0">
      <w:lvlJc w:val="left"/>
      <w:lvlText w:val="8"/>
      <w:numFmt w:val="bullet"/>
      <w:start w:val="1"/>
    </w:lvl>
  </w:abstractNum>
  <w:abstractNum w:abstractNumId="20">
    <w:nsid w:val="749ABB43"/>
    <w:multiLevelType w:val="hybridMultilevel"/>
    <w:lvl w:ilvl="0">
      <w:lvlJc w:val="left"/>
      <w:lvlText w:val="9"/>
      <w:numFmt w:val="bullet"/>
      <w:start w:val="1"/>
    </w:lvl>
  </w:abstractNum>
  <w:abstractNum w:abstractNumId="21">
    <w:nsid w:val="3DC240FB"/>
    <w:multiLevelType w:val="hybridMultilevel"/>
    <w:lvl w:ilvl="0">
      <w:lvlJc w:val="left"/>
      <w:lvlText w:val="(%1)"/>
      <w:numFmt w:val="lowerLetter"/>
      <w:start w:val="1"/>
    </w:lvl>
    <w:lvl w:ilvl="1">
      <w:lvlJc w:val="left"/>
      <w:lvlText w:val="(%2)"/>
      <w:numFmt w:val="lowerRoman"/>
      <w:start w:val="1"/>
    </w:lvl>
  </w:abstractNum>
  <w:abstractNum w:abstractNumId="22">
    <w:nsid w:val="1BA026FA"/>
    <w:multiLevelType w:val="hybridMultilevel"/>
    <w:lvl w:ilvl="0">
      <w:lvlJc w:val="left"/>
      <w:lvlText w:val="(%1)"/>
      <w:numFmt w:val="lowerLetter"/>
      <w:start w:val="1"/>
    </w:lvl>
  </w:abstractNum>
  <w:abstractNum w:abstractNumId="23">
    <w:nsid w:val="79A1DEAA"/>
    <w:multiLevelType w:val="hybridMultilevel"/>
    <w:lvl w:ilvl="0">
      <w:lvlJc w:val="left"/>
      <w:lvlText w:val="(%1)"/>
      <w:numFmt w:val="lowerLetter"/>
      <w:start w:val="1"/>
    </w:lvl>
    <w:lvl w:ilvl="1">
      <w:lvlJc w:val="left"/>
      <w:lvlText w:val="(%2)"/>
      <w:numFmt w:val="lowerRoman"/>
      <w:start w:val="1"/>
    </w:lvl>
  </w:abstractNum>
  <w:abstractNum w:abstractNumId="24">
    <w:nsid w:val="75C6C33A"/>
    <w:multiLevelType w:val="hybridMultilevel"/>
    <w:lvl w:ilvl="0">
      <w:lvlJc w:val="left"/>
      <w:lvlText w:val="(%1)"/>
      <w:numFmt w:val="lowerLetter"/>
      <w:start w:val="1"/>
    </w:lvl>
  </w:abstractNum>
  <w:abstractNum w:abstractNumId="25">
    <w:nsid w:val="12E685FB"/>
    <w:multiLevelType w:val="hybridMultilevel"/>
    <w:lvl w:ilvl="0">
      <w:lvlJc w:val="left"/>
      <w:lvlText w:val="(%1)"/>
      <w:numFmt w:val="lowerLetter"/>
      <w:start w:val="1"/>
    </w:lvl>
  </w:abstractNum>
  <w:abstractNum w:abstractNumId="26">
    <w:nsid w:val="70C6A529"/>
    <w:multiLevelType w:val="hybridMultilevel"/>
    <w:lvl w:ilvl="0">
      <w:lvlJc w:val="left"/>
      <w:lvlText w:val="(%1)"/>
      <w:numFmt w:val="lowerLetter"/>
      <w:start w:val="3"/>
    </w:lvl>
  </w:abstractNum>
  <w:abstractNum w:abstractNumId="27">
    <w:nsid w:val="520EEDD1"/>
    <w:multiLevelType w:val="hybridMultilevel"/>
    <w:lvl w:ilvl="0">
      <w:lvlJc w:val="left"/>
      <w:lvlText w:val="(%1)"/>
      <w:numFmt w:val="lowerLetter"/>
      <w:start w:val="1"/>
    </w:lvl>
  </w:abstractNum>
  <w:abstractNum w:abstractNumId="28">
    <w:nsid w:val="374A3FE6"/>
    <w:multiLevelType w:val="hybridMultilevel"/>
    <w:lvl w:ilvl="0">
      <w:lvlJc w:val="left"/>
      <w:lvlText w:val="(%1)"/>
      <w:numFmt w:val="lowerLetter"/>
      <w:start w:val="1"/>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1)"/>
      <w:numFmt w:val="lowerLetter"/>
      <w:start w:val="4"/>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bullet"/>
      <w:start w:val="1"/>
    </w:lvl>
  </w:abstractNum>
  <w:abstractNum w:abstractNumId="33">
    <w:nsid w:val="39386575"/>
    <w:multiLevelType w:val="hybridMultilevel"/>
    <w:lvl w:ilvl="0">
      <w:lvlJc w:val="left"/>
      <w:lvlText w:val="2"/>
      <w:numFmt w:val="bullet"/>
      <w:start w:val="1"/>
    </w:lvl>
  </w:abstractNum>
  <w:abstractNum w:abstractNumId="34">
    <w:nsid w:val="1CF10FD8"/>
    <w:multiLevelType w:val="hybridMultilevel"/>
    <w:lvl w:ilvl="0">
      <w:lvlJc w:val="left"/>
      <w:lvlText w:val="3"/>
      <w:numFmt w:val="bullet"/>
      <w:start w:val="1"/>
    </w:lvl>
  </w:abstractNum>
  <w:abstractNum w:abstractNumId="35">
    <w:nsid w:val="180115BE"/>
    <w:multiLevelType w:val="hybridMultilevel"/>
    <w:lvl w:ilvl="0">
      <w:lvlJc w:val="left"/>
      <w:lvlText w:val="4"/>
      <w:numFmt w:val="bullet"/>
      <w:start w:val="1"/>
    </w:lvl>
  </w:abstractNum>
  <w:abstractNum w:abstractNumId="36">
    <w:nsid w:val="235BA861"/>
    <w:multiLevelType w:val="hybridMultilevel"/>
    <w:lvl w:ilvl="0">
      <w:lvlJc w:val="left"/>
      <w:lvlText w:val="5"/>
      <w:numFmt w:val="bullet"/>
      <w:start w:val="1"/>
    </w:lvl>
  </w:abstractNum>
  <w:abstractNum w:abstractNumId="37">
    <w:nsid w:val="47398C89"/>
    <w:multiLevelType w:val="hybridMultilevel"/>
    <w:lvl w:ilvl="0">
      <w:lvlJc w:val="left"/>
      <w:lvlText w:val="6"/>
      <w:numFmt w:val="bullet"/>
      <w:start w:val="1"/>
    </w:lvl>
  </w:abstractNum>
  <w:abstractNum w:abstractNumId="38">
    <w:nsid w:val="354FE9F9"/>
    <w:multiLevelType w:val="hybridMultilevel"/>
    <w:lvl w:ilvl="0">
      <w:lvlJc w:val="left"/>
      <w:lvlText w:val="7"/>
      <w:numFmt w:val="bullet"/>
      <w:start w:val="1"/>
    </w:lvl>
  </w:abstractNum>
  <w:abstractNum w:abstractNumId="39">
    <w:nsid w:val="15B5AF5C"/>
    <w:multiLevelType w:val="hybridMultilevel"/>
    <w:lvl w:ilvl="0">
      <w:lvlJc w:val="left"/>
      <w:lvlText w:val="8"/>
      <w:numFmt w:val="bullet"/>
      <w:start w:val="1"/>
    </w:lvl>
  </w:abstractNum>
  <w:abstractNum w:abstractNumId="40">
    <w:nsid w:val="741226BB"/>
    <w:multiLevelType w:val="hybridMultilevel"/>
    <w:lvl w:ilvl="0">
      <w:lvlJc w:val="left"/>
      <w:lvlText w:val="1"/>
      <w:numFmt w:val="bullet"/>
      <w:start w:val="1"/>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1)"/>
      <w:numFmt w:val="lowerLetter"/>
      <w:start w:val="13"/>
    </w:lvl>
  </w:abstractNum>
  <w:abstractNum w:abstractNumId="43">
    <w:nsid w:val="3F6AB60F"/>
    <w:multiLevelType w:val="hybridMultilevel"/>
    <w:lvl w:ilvl="0">
      <w:lvlJc w:val="left"/>
      <w:lvlText w:val="2"/>
      <w:numFmt w:val="bullet"/>
      <w:start w:val="1"/>
    </w:lvl>
  </w:abstractNum>
  <w:abstractNum w:abstractNumId="44">
    <w:nsid w:val="61574095"/>
    <w:multiLevelType w:val="hybridMultilevel"/>
    <w:lvl w:ilvl="0">
      <w:lvlJc w:val="left"/>
      <w:lvlText w:val="3"/>
      <w:numFmt w:val="bullet"/>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2"/>
    </w:lvl>
  </w:abstractNum>
  <w:abstractNum w:abstractNumId="47">
    <w:nsid w:val="579BE4F1"/>
    <w:multiLevelType w:val="hybridMultilevel"/>
    <w:lvl w:ilvl="0">
      <w:lvlJc w:val="left"/>
      <w:lvlText w:val="4"/>
      <w:numFmt w:val="bullet"/>
      <w:start w:val="1"/>
    </w:lvl>
  </w:abstractNum>
  <w:abstractNum w:abstractNumId="48">
    <w:nsid w:val="310C50B3"/>
    <w:multiLevelType w:val="hybridMultilevel"/>
    <w:lvl w:ilvl="0">
      <w:lvlJc w:val="left"/>
      <w:lvlText w:val="5"/>
      <w:numFmt w:val="bullet"/>
      <w:start w:val="1"/>
    </w:lvl>
  </w:abstractNum>
  <w:abstractNum w:abstractNumId="49">
    <w:nsid w:val="5FF87E05"/>
    <w:multiLevelType w:val="hybridMultilevel"/>
    <w:lvl w:ilvl="0">
      <w:lvlJc w:val="left"/>
      <w:lvlText w:val="6"/>
      <w:numFmt w:val="bullet"/>
      <w:start w:val="1"/>
    </w:lvl>
  </w:abstractNum>
  <w:abstractNum w:abstractNumId="50">
    <w:nsid w:val="2F305DEF"/>
    <w:multiLevelType w:val="hybridMultilevel"/>
    <w:lvl w:ilvl="0">
      <w:lvlJc w:val="left"/>
      <w:lvlText w:val="7"/>
      <w:numFmt w:val="bullet"/>
      <w:start w:val="1"/>
    </w:lvl>
  </w:abstractNum>
  <w:abstractNum w:abstractNumId="51">
    <w:nsid w:val="25A70BF7"/>
    <w:multiLevelType w:val="hybridMultilevel"/>
    <w:lvl w:ilvl="0">
      <w:lvlJc w:val="left"/>
      <w:lvlText w:val="8"/>
      <w:numFmt w:val="bullet"/>
      <w:start w:val="1"/>
    </w:lvl>
  </w:abstractNum>
  <w:abstractNum w:abstractNumId="52">
    <w:nsid w:val="1DBABF00"/>
    <w:multiLevelType w:val="hybridMultilevel"/>
    <w:lvl w:ilvl="0">
      <w:lvlJc w:val="left"/>
      <w:lvlText w:val="9"/>
      <w:numFmt w:val="bullet"/>
      <w:start w:val="1"/>
    </w:lvl>
  </w:abstractNum>
  <w:abstractNum w:abstractNumId="53">
    <w:nsid w:val="4AD084E9"/>
    <w:multiLevelType w:val="hybridMultilevel"/>
    <w:lvl w:ilvl="0">
      <w:lvlJc w:val="left"/>
      <w:lvlText w:val="(%1)"/>
      <w:numFmt w:val="lowerLetter"/>
      <w:start w:val="1"/>
    </w:lvl>
    <w:lvl w:ilvl="1">
      <w:lvlJc w:val="left"/>
      <w:lvlText w:val="(%2)"/>
      <w:numFmt w:val="lowerLetter"/>
      <w:start w:val="9"/>
    </w:lvl>
  </w:abstractNum>
  <w:abstractNum w:abstractNumId="54">
    <w:nsid w:val="1F48EAA1"/>
    <w:multiLevelType w:val="hybridMultilevel"/>
    <w:lvl w:ilvl="0">
      <w:lvlJc w:val="left"/>
      <w:lvlText w:val="%1"/>
      <w:numFmt w:val="lowerLetter"/>
      <w:start w:val="1"/>
    </w:lvl>
    <w:lvl w:ilvl="1">
      <w:lvlJc w:val="left"/>
      <w:lvlText w:val="(%2)"/>
      <w:numFmt w:val="lowerLetter"/>
      <w:start w:val="35"/>
    </w:lvl>
  </w:abstractNum>
  <w:abstractNum w:abstractNumId="55">
    <w:nsid w:val="1381823A"/>
    <w:multiLevelType w:val="hybridMultilevel"/>
    <w:lvl w:ilvl="0">
      <w:lvlJc w:val="left"/>
      <w:lvlText w:val="(%1)"/>
      <w:numFmt w:val="lowerLetter"/>
      <w:start w:val="2"/>
    </w:lvl>
    <w:lvl w:ilvl="1">
      <w:lvlJc w:val="left"/>
      <w:lvlText w:val="%2"/>
      <w:numFmt w:val="lowerLetter"/>
      <w:start w:val="1"/>
    </w:lvl>
  </w:abstractNum>
  <w:abstractNum w:abstractNumId="56">
    <w:nsid w:val="5DB70AE5"/>
    <w:multiLevelType w:val="hybridMultilevel"/>
    <w:lvl w:ilvl="0">
      <w:lvlJc w:val="left"/>
      <w:lvlText w:val="%1"/>
      <w:numFmt w:val="decimal"/>
      <w:start w:val="1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lowerLetter"/>
      <w:start w:val="4"/>
    </w:lvl>
  </w:abstractNum>
  <w:abstractNum w:abstractNumId="59">
    <w:nsid w:val="15014ACB"/>
    <w:multiLevelType w:val="hybridMultilevel"/>
    <w:lvl w:ilvl="0">
      <w:lvlJc w:val="left"/>
      <w:lvlText w:val="(%1)"/>
      <w:numFmt w:val="lowerLetter"/>
      <w:start w:val="1"/>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decimal"/>
      <w:start w:val="19"/>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decimal"/>
      <w:start w:val="26"/>
    </w:lvl>
  </w:abstractNum>
  <w:abstractNum w:abstractNumId="65">
    <w:nsid w:val="168E121F"/>
    <w:multiLevelType w:val="hybridMultilevel"/>
    <w:lvl w:ilvl="0">
      <w:lvlJc w:val="left"/>
      <w:lvlText w:val="%1"/>
      <w:numFmt w:val="decimal"/>
      <w:start w:val="30"/>
    </w:lvl>
    <w:lvl w:ilvl="1">
      <w:lvlJc w:val="left"/>
      <w:lvlText w:val="(%2)"/>
      <w:numFmt w:val="lowerLetter"/>
      <w:start w:val="1"/>
    </w:lvl>
  </w:abstractNum>
  <w:abstractNum w:abstractNumId="66">
    <w:nsid w:val="1EBA5D23"/>
    <w:multiLevelType w:val="hybridMultilevel"/>
    <w:lvl w:ilvl="0">
      <w:lvlJc w:val="left"/>
      <w:lvlText w:val="%1"/>
      <w:numFmt w:val="decimal"/>
      <w:start w:val="32"/>
    </w:lvl>
  </w:abstractNum>
  <w:abstractNum w:abstractNumId="67">
    <w:nsid w:val="661E3F1E"/>
    <w:multiLevelType w:val="hybridMultilevel"/>
    <w:lvl w:ilvl="0">
      <w:lvlJc w:val="left"/>
      <w:lvlText w:val="%1"/>
      <w:numFmt w:val="decimal"/>
      <w:start w:val="34"/>
    </w:lvl>
  </w:abstractNum>
  <w:abstractNum w:abstractNumId="68">
    <w:nsid w:val="5DC79EA8"/>
    <w:multiLevelType w:val="hybridMultilevel"/>
    <w:lvl w:ilvl="0">
      <w:lvlJc w:val="left"/>
      <w:lvlText w:val="%1"/>
      <w:numFmt w:val="decimal"/>
      <w:start w:val="36"/>
    </w:lvl>
  </w:abstractNum>
  <w:abstractNum w:abstractNumId="69">
    <w:nsid w:val="540A471C"/>
    <w:multiLevelType w:val="hybridMultilevel"/>
    <w:lvl w:ilvl="0">
      <w:lvlJc w:val="left"/>
      <w:lvlText w:val="%1"/>
      <w:numFmt w:val="decimal"/>
      <w:start w:val="40"/>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lowerLetter"/>
      <w:start w:val="3"/>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decimal"/>
      <w:start w:val="46"/>
    </w:lvl>
  </w:abstractNum>
  <w:abstractNum w:abstractNumId="74">
    <w:nsid w:val="11447B73"/>
    <w:multiLevelType w:val="hybridMultilevel"/>
    <w:lvl w:ilvl="0">
      <w:lvlJc w:val="left"/>
      <w:lvlText w:val="%1"/>
      <w:numFmt w:val="decimal"/>
      <w:start w:val="48"/>
    </w:lvl>
  </w:abstractNum>
  <w:abstractNum w:abstractNumId="75">
    <w:nsid w:val="42963E5A"/>
    <w:multiLevelType w:val="hybridMultilevel"/>
    <w:lvl w:ilvl="0">
      <w:lvlJc w:val="left"/>
      <w:lvlText w:val="%1."/>
      <w:numFmt w:val="lowerRoman"/>
      <w:start w:val="1"/>
    </w:lvl>
  </w:abstractNum>
  <w:abstractNum w:abstractNumId="76">
    <w:nsid w:val="A0382C5"/>
    <w:multiLevelType w:val="hybridMultilevel"/>
    <w:lvl w:ilvl="0">
      <w:lvlJc w:val="left"/>
      <w:lvlText w:val="%1."/>
      <w:numFmt w:val="lowerRoman"/>
      <w:start w:val="3"/>
    </w:lvl>
  </w:abstractNum>
  <w:abstractNum w:abstractNumId="77">
    <w:nsid w:val="8F2B15E"/>
    <w:multiLevelType w:val="hybridMultilevel"/>
    <w:lvl w:ilvl="0">
      <w:lvlJc w:val="left"/>
      <w:lvlText w:val="%1."/>
      <w:numFmt w:val="lowerRoman"/>
      <w:start w:val="1"/>
    </w:lvl>
  </w:abstractNum>
  <w:abstractNum w:abstractNumId="78">
    <w:nsid w:val="1A32234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2026-04-28T05:38:02Z</dcterms:created>
  <dcterms:modified xsi:type="dcterms:W3CDTF">2026-04-28T05:38:02Z</dcterms:modified>
</cp:coreProperties>
</file>